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</w:rPr>
        <w:t>金华市中心医院生活水箱</w:t>
      </w:r>
      <w:r>
        <w:rPr>
          <w:rFonts w:hint="eastAsia"/>
          <w:b/>
          <w:bCs/>
          <w:sz w:val="32"/>
          <w:szCs w:val="40"/>
          <w:lang w:eastAsia="zh-CN"/>
        </w:rPr>
        <w:t>清洗消毒项目招标需求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项目对象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全院区内生活水箱</w:t>
      </w:r>
    </w:p>
    <w:tbl>
      <w:tblPr>
        <w:tblStyle w:val="2"/>
        <w:tblW w:w="816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035"/>
        <w:gridCol w:w="2220"/>
        <w:gridCol w:w="1485"/>
        <w:gridCol w:w="25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水箱地点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水箱结构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负一楼水泵房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四楼平台血透室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负一楼水泵房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水泥结构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楼顶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楼顶东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楼顶西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负一楼水泵房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水泥结构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14楼中区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楼顶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8号楼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负一楼水泵房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11号楼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楼顶东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水泥结构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楼顶西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12号楼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水泥结构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13号楼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水泥结构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14号楼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浴室水箱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水泥结构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已改造废弃使用 不洗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1号宿舍楼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楼顶东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水泥结构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楼顶西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水泥结构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3号宿舍楼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楼顶东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水泥结构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已改造废弃使用 不洗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楼顶中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水泥结构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楼顶西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水泥结构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共计需清洗水箱18个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项目内容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对以上18个生活水箱清洗消毒，并在清洗消毒后进行水质采样检测，投标人须在完成检测后15个日历天内向采购人提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交检测评价报告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检测标准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GB5749-2006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支付方式</w:t>
      </w:r>
    </w:p>
    <w:p>
      <w:pPr>
        <w:numPr>
          <w:ilvl w:val="0"/>
          <w:numId w:val="0"/>
        </w:numPr>
        <w:ind w:leftChars="0"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采购人收到检测评价报告后一次性支付合同全部金额。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014201"/>
    <w:multiLevelType w:val="singleLevel"/>
    <w:tmpl w:val="E10142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92607"/>
    <w:rsid w:val="08992607"/>
    <w:rsid w:val="0D9A25E5"/>
    <w:rsid w:val="2303320B"/>
    <w:rsid w:val="277E45C6"/>
    <w:rsid w:val="4C94254A"/>
    <w:rsid w:val="643C252C"/>
    <w:rsid w:val="657D3667"/>
    <w:rsid w:val="79BF2EB8"/>
    <w:rsid w:val="7EC5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2019-08-12T23:24:00Z</dcterms:created>
  <dc:creator>王晶</dc:creator>
  <cp:lastModifiedBy>胡栋</cp:lastModifiedBy>
  <dcterms:modified xsi:type="dcterms:W3CDTF">2019-08-13T08:52:14Z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