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2A" w:rsidRPr="0065652A" w:rsidRDefault="0065652A" w:rsidP="0065652A">
      <w:pPr>
        <w:ind w:firstLine="640"/>
        <w:jc w:val="center"/>
        <w:rPr>
          <w:rFonts w:hint="eastAsia"/>
          <w:sz w:val="32"/>
          <w:szCs w:val="32"/>
        </w:rPr>
      </w:pPr>
      <w:bookmarkStart w:id="0" w:name="_Toc25755288"/>
      <w:r w:rsidRPr="0065652A">
        <w:rPr>
          <w:rFonts w:hint="eastAsia"/>
          <w:sz w:val="32"/>
          <w:szCs w:val="32"/>
        </w:rPr>
        <w:t>医联体</w:t>
      </w:r>
      <w:r w:rsidRPr="0065652A">
        <w:rPr>
          <w:rFonts w:hint="eastAsia"/>
          <w:sz w:val="32"/>
          <w:szCs w:val="32"/>
        </w:rPr>
        <w:t>HRP</w:t>
      </w:r>
      <w:r w:rsidRPr="0065652A">
        <w:rPr>
          <w:rFonts w:hint="eastAsia"/>
          <w:sz w:val="32"/>
          <w:szCs w:val="32"/>
        </w:rPr>
        <w:t>升级改造项目建设方案</w:t>
      </w:r>
      <w:bookmarkEnd w:id="0"/>
    </w:p>
    <w:p w:rsidR="0065652A" w:rsidRDefault="0065652A" w:rsidP="0065652A">
      <w:pPr>
        <w:pStyle w:val="3"/>
        <w:rPr>
          <w:rFonts w:ascii="仿宋" w:eastAsia="仿宋" w:hAnsi="仿宋" w:cs="仿宋" w:hint="eastAsia"/>
        </w:rPr>
      </w:pPr>
      <w:r>
        <w:rPr>
          <w:rFonts w:ascii="仿宋" w:eastAsia="仿宋" w:hAnsi="仿宋" w:cs="仿宋" w:hint="eastAsia"/>
        </w:rPr>
        <w:t>系统概述</w:t>
      </w:r>
    </w:p>
    <w:p w:rsidR="0065652A" w:rsidRDefault="0065652A" w:rsidP="0065652A">
      <w:pPr>
        <w:pStyle w:val="a6"/>
        <w:spacing w:after="0"/>
        <w:ind w:firstLine="560"/>
        <w:rPr>
          <w:rFonts w:ascii="仿宋" w:eastAsia="仿宋" w:hAnsi="仿宋" w:cs="仿宋" w:hint="eastAsia"/>
          <w:sz w:val="28"/>
          <w:szCs w:val="28"/>
        </w:rPr>
      </w:pPr>
      <w:r>
        <w:rPr>
          <w:rFonts w:ascii="仿宋" w:eastAsia="仿宋" w:hAnsi="仿宋" w:cs="仿宋" w:hint="eastAsia"/>
          <w:sz w:val="28"/>
          <w:szCs w:val="28"/>
        </w:rPr>
        <w:t>目前，结合市中心医院现有的HRP系统，以现系统为基础，拓展HRP的集团应用，建立集团化的运营管控体系。市中心医院已经形成了一整套的HRP管理规范，包括财务管理规范化、业务财务协同化和数据标准化。因此对新纳入市中心医院整体管理的医院和院区要执行统一的标准，因此需要在市中心医院现有系统的基础上，梳理优化或重塑财务管理流程与制度，通过系统清理历史数据、规范账务管理，提高核算工作的真实性、准确性、完整性和及时性。通过有效的财务数据分析，从而协助管理层的运营在集团扩建与投资中的决策。</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现HRP系统支持了单一的医院运营管理，对多院区或集团化的管理没有直接支持，而在集团化管理下，需要实现以下几个方面：</w:t>
      </w:r>
    </w:p>
    <w:p w:rsidR="0065652A" w:rsidRDefault="0065652A" w:rsidP="0065652A">
      <w:pPr>
        <w:numPr>
          <w:ilvl w:val="0"/>
          <w:numId w:val="2"/>
        </w:numPr>
        <w:ind w:left="0" w:firstLineChars="0"/>
        <w:rPr>
          <w:rFonts w:ascii="仿宋" w:eastAsia="仿宋" w:hAnsi="仿宋" w:cs="仿宋" w:hint="eastAsia"/>
          <w:sz w:val="28"/>
          <w:szCs w:val="28"/>
        </w:rPr>
      </w:pPr>
      <w:r>
        <w:rPr>
          <w:rFonts w:ascii="仿宋" w:eastAsia="仿宋" w:hAnsi="仿宋" w:cs="仿宋" w:hint="eastAsia"/>
          <w:b/>
          <w:sz w:val="28"/>
          <w:szCs w:val="28"/>
        </w:rPr>
        <w:t>统一的主数据管理：</w:t>
      </w:r>
      <w:r>
        <w:rPr>
          <w:rFonts w:ascii="仿宋" w:eastAsia="仿宋" w:hAnsi="仿宋" w:cs="仿宋" w:hint="eastAsia"/>
          <w:sz w:val="28"/>
          <w:szCs w:val="28"/>
        </w:rPr>
        <w:t>即根据市中心医院和妇幼保健院，并充分考虑其他分院核心业务及所需信息的分析，参考主数据特征，对主数据进行识别，覆盖集团的总账、应付、采购、库存、资产、应收、人事和资金业务。具体主数据包括：组织机构、会计科目、员工、工程项目、物流信息、客户信息、仓库、供应商、银行账户等。</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在医院价值链的各个环节中，主数据会被多个环节调用。其中患者信息会贯穿于诊前、诊中、诊后全过程。挂号资源主数据主要在预约阶段被调用。疾病主数据主要在诊断过程中被调用。缴费阶段会调用检查、检验、手术操作等多个主数据，同时会使用财务相关主数据。耗材主数据除了应用于物资管理领域，也会在诊疗过程中被调用。</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在市中心医院的主数据管理中建立对主数据的管理流程，完善的机制，保证从建立到废弃，都可以全程跟踪。对主数据的分类和核心要素进行全面定义，为后续实施提供直接引用，并固化设置在系统中。</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lastRenderedPageBreak/>
        <w:t>建立责任分离矩阵，保证责权利分明。</w:t>
      </w:r>
    </w:p>
    <w:p w:rsidR="0065652A" w:rsidRDefault="0065652A" w:rsidP="0065652A">
      <w:pPr>
        <w:pStyle w:val="a6"/>
        <w:widowControl/>
        <w:numPr>
          <w:ilvl w:val="0"/>
          <w:numId w:val="2"/>
        </w:numPr>
        <w:overflowPunct w:val="0"/>
        <w:autoSpaceDE w:val="0"/>
        <w:autoSpaceDN w:val="0"/>
        <w:spacing w:after="0"/>
        <w:ind w:left="0" w:firstLineChars="0"/>
        <w:textAlignment w:val="baseline"/>
        <w:rPr>
          <w:rFonts w:ascii="仿宋" w:eastAsia="仿宋" w:hAnsi="仿宋" w:cs="仿宋" w:hint="eastAsia"/>
          <w:sz w:val="28"/>
          <w:szCs w:val="28"/>
        </w:rPr>
      </w:pPr>
      <w:r>
        <w:rPr>
          <w:rFonts w:ascii="仿宋" w:eastAsia="仿宋" w:hAnsi="仿宋" w:cs="仿宋" w:hint="eastAsia"/>
          <w:b/>
          <w:sz w:val="28"/>
          <w:szCs w:val="28"/>
        </w:rPr>
        <w:t>统一的财务管理：</w:t>
      </w:r>
      <w:r>
        <w:rPr>
          <w:rFonts w:ascii="仿宋" w:eastAsia="仿宋" w:hAnsi="仿宋" w:cs="仿宋" w:hint="eastAsia"/>
          <w:sz w:val="28"/>
          <w:szCs w:val="28"/>
        </w:rPr>
        <w:t>以市中心医院为基础统一现有的财务处理、现金银行、单位报账、往来管理、固定资产管理和报表管理。</w:t>
      </w:r>
    </w:p>
    <w:p w:rsidR="0065652A" w:rsidRPr="0065652A" w:rsidRDefault="0065652A" w:rsidP="0065652A">
      <w:pPr>
        <w:pStyle w:val="a6"/>
        <w:widowControl/>
        <w:numPr>
          <w:ilvl w:val="0"/>
          <w:numId w:val="2"/>
        </w:numPr>
        <w:overflowPunct w:val="0"/>
        <w:autoSpaceDE w:val="0"/>
        <w:autoSpaceDN w:val="0"/>
        <w:spacing w:after="0"/>
        <w:ind w:left="0" w:firstLineChars="0"/>
        <w:textAlignment w:val="baseline"/>
        <w:rPr>
          <w:rFonts w:ascii="仿宋" w:eastAsia="仿宋" w:hAnsi="仿宋" w:cs="仿宋" w:hint="eastAsia"/>
          <w:sz w:val="28"/>
          <w:szCs w:val="28"/>
        </w:rPr>
      </w:pPr>
      <w:r w:rsidRPr="0065652A">
        <w:rPr>
          <w:rFonts w:ascii="仿宋" w:eastAsia="仿宋" w:hAnsi="仿宋" w:cs="仿宋" w:hint="eastAsia"/>
          <w:b/>
          <w:sz w:val="28"/>
          <w:szCs w:val="28"/>
        </w:rPr>
        <w:t>统一的业务务管理：</w:t>
      </w:r>
      <w:r w:rsidRPr="0065652A">
        <w:rPr>
          <w:rFonts w:ascii="仿宋" w:eastAsia="仿宋" w:hAnsi="仿宋" w:cs="仿宋" w:hint="eastAsia"/>
          <w:sz w:val="28"/>
          <w:szCs w:val="28"/>
        </w:rPr>
        <w:t>以市中心医院为基础统一现有的物资、耗材、资产等采购、库存和使用管理。</w:t>
      </w:r>
    </w:p>
    <w:p w:rsidR="0065652A" w:rsidRDefault="0065652A" w:rsidP="0065652A">
      <w:pPr>
        <w:pStyle w:val="3"/>
        <w:rPr>
          <w:rFonts w:ascii="仿宋" w:eastAsia="仿宋" w:hAnsi="仿宋" w:cs="仿宋" w:hint="eastAsia"/>
        </w:rPr>
      </w:pPr>
      <w:bookmarkStart w:id="1" w:name="_Toc526784821"/>
      <w:r>
        <w:rPr>
          <w:rFonts w:ascii="仿宋" w:eastAsia="仿宋" w:hAnsi="仿宋" w:cs="仿宋" w:hint="eastAsia"/>
        </w:rPr>
        <w:t>整体目标</w:t>
      </w:r>
      <w:bookmarkEnd w:id="1"/>
      <w:r>
        <w:rPr>
          <w:rFonts w:ascii="仿宋" w:eastAsia="仿宋" w:hAnsi="仿宋" w:cs="仿宋" w:hint="eastAsia"/>
        </w:rPr>
        <w:t>设计</w:t>
      </w:r>
    </w:p>
    <w:p w:rsidR="0065652A" w:rsidRDefault="0065652A" w:rsidP="0065652A">
      <w:pPr>
        <w:ind w:left="454" w:firstLineChars="0" w:firstLine="0"/>
        <w:rPr>
          <w:rFonts w:ascii="仿宋" w:eastAsia="仿宋" w:hAnsi="仿宋" w:cs="仿宋" w:hint="eastAsia"/>
          <w:sz w:val="28"/>
          <w:szCs w:val="28"/>
        </w:rPr>
      </w:pPr>
      <w:r>
        <w:rPr>
          <w:rFonts w:ascii="仿宋" w:eastAsia="仿宋" w:hAnsi="仿宋" w:cs="仿宋" w:hint="eastAsia"/>
          <w:sz w:val="28"/>
          <w:szCs w:val="28"/>
        </w:rPr>
        <w:t>建立满足医疗行业管理理念、管理流程的信息化内部管理系统，使市中心医院的管理规范统一，逐步形成集团化管理的体系，逐步实现市中心医院的全成本管理和绩效管理，使市中心医院综合的成本效益水平达到更高的水平。</w:t>
      </w:r>
    </w:p>
    <w:p w:rsidR="0065652A" w:rsidRDefault="0065652A" w:rsidP="0065652A">
      <w:pPr>
        <w:pStyle w:val="3"/>
        <w:rPr>
          <w:rFonts w:ascii="仿宋" w:eastAsia="仿宋" w:hAnsi="仿宋" w:cs="仿宋" w:hint="eastAsia"/>
        </w:rPr>
      </w:pPr>
      <w:bookmarkStart w:id="2" w:name="_Toc526784822"/>
      <w:r>
        <w:rPr>
          <w:rFonts w:ascii="仿宋" w:eastAsia="仿宋" w:hAnsi="仿宋" w:cs="仿宋" w:hint="eastAsia"/>
        </w:rPr>
        <w:t>总体框架</w:t>
      </w:r>
      <w:bookmarkEnd w:id="2"/>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以市中心医院现有HRP系统为基础，改造为集团化业务体系，实现对市中心医院、妇保分院以及其他分院人、财、物的有效统一管理。目前市中心医院在财务管理、成本控制、绩效管理、估算管理、物流管理、资产管理等方面都已经成熟运行了3年以上，但作为单体医院，还需要系统支持集团层面的管理和控制，同时也有必要在管理体系上适应集团化的管理，因此市中心医院将统一设计集团HRP管理框架，使之可以在妇保分院和其他分院进行推广。</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在建立统一的HRP系统过程中，市中心医院也会制定新的管理制度和管理方法，把医院现有的管理体制向以一体化管理、计划管理、精细管理、控制管理、智能管理为主要特征的现代管理模式转变。</w:t>
      </w:r>
    </w:p>
    <w:p w:rsidR="0065652A" w:rsidRDefault="0065652A" w:rsidP="0065652A">
      <w:pPr>
        <w:pStyle w:val="3"/>
        <w:rPr>
          <w:rFonts w:ascii="仿宋" w:eastAsia="仿宋" w:hAnsi="仿宋" w:cs="仿宋" w:hint="eastAsia"/>
        </w:rPr>
      </w:pPr>
      <w:bookmarkStart w:id="3" w:name="_Toc526784823"/>
      <w:r>
        <w:rPr>
          <w:rFonts w:ascii="仿宋" w:eastAsia="仿宋" w:hAnsi="仿宋" w:cs="仿宋" w:hint="eastAsia"/>
        </w:rPr>
        <w:t>主要建设内容</w:t>
      </w:r>
      <w:bookmarkEnd w:id="3"/>
    </w:p>
    <w:p w:rsidR="0065652A" w:rsidRDefault="0065652A" w:rsidP="0065652A">
      <w:pPr>
        <w:numPr>
          <w:ilvl w:val="0"/>
          <w:numId w:val="3"/>
        </w:numPr>
        <w:ind w:firstLineChars="0"/>
        <w:rPr>
          <w:rFonts w:ascii="仿宋" w:eastAsia="仿宋" w:hAnsi="仿宋" w:cs="仿宋" w:hint="eastAsia"/>
          <w:b/>
          <w:sz w:val="28"/>
          <w:szCs w:val="28"/>
        </w:rPr>
      </w:pPr>
      <w:r>
        <w:rPr>
          <w:rFonts w:ascii="仿宋" w:eastAsia="仿宋" w:hAnsi="仿宋" w:cs="仿宋" w:hint="eastAsia"/>
          <w:b/>
          <w:sz w:val="28"/>
          <w:szCs w:val="28"/>
        </w:rPr>
        <w:t>主数据管理</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t>将主数据放在集团综合层面统一考虑，为各医院统一使用建立基础。</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lastRenderedPageBreak/>
        <w:t>主数据包含以下16类的管理：</w:t>
      </w:r>
    </w:p>
    <w:p w:rsidR="0065652A" w:rsidRDefault="0065652A" w:rsidP="0065652A">
      <w:pPr>
        <w:ind w:left="840" w:firstLineChars="0" w:firstLine="0"/>
        <w:rPr>
          <w:rFonts w:ascii="仿宋" w:eastAsia="仿宋" w:hAnsi="仿宋" w:cs="仿宋" w:hint="eastAsia"/>
          <w:b/>
          <w:sz w:val="28"/>
          <w:szCs w:val="28"/>
        </w:rPr>
      </w:pPr>
      <w:r>
        <w:rPr>
          <w:rFonts w:ascii="仿宋" w:eastAsia="仿宋" w:hAnsi="仿宋" w:cs="仿宋" w:hint="eastAsia"/>
          <w:noProof/>
          <w:sz w:val="28"/>
          <w:szCs w:val="28"/>
        </w:rPr>
        <w:drawing>
          <wp:inline distT="0" distB="0" distL="0" distR="0">
            <wp:extent cx="4709160" cy="3070860"/>
            <wp:effectExtent l="19050" t="0" r="0" b="0"/>
            <wp:docPr id="3"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7"/>
                    <a:srcRect/>
                    <a:stretch>
                      <a:fillRect/>
                    </a:stretch>
                  </pic:blipFill>
                  <pic:spPr bwMode="auto">
                    <a:xfrm>
                      <a:off x="0" y="0"/>
                      <a:ext cx="4709160" cy="3070860"/>
                    </a:xfrm>
                    <a:prstGeom prst="rect">
                      <a:avLst/>
                    </a:prstGeom>
                    <a:noFill/>
                    <a:ln w="9525" cmpd="sng">
                      <a:noFill/>
                      <a:miter lim="800000"/>
                      <a:headEnd/>
                      <a:tailEnd/>
                    </a:ln>
                  </pic:spPr>
                </pic:pic>
              </a:graphicData>
            </a:graphic>
          </wp:inline>
        </w:drawing>
      </w:r>
    </w:p>
    <w:p w:rsidR="0065652A" w:rsidRDefault="0065652A" w:rsidP="0065652A">
      <w:pPr>
        <w:numPr>
          <w:ilvl w:val="0"/>
          <w:numId w:val="3"/>
        </w:numPr>
        <w:ind w:firstLineChars="0"/>
        <w:rPr>
          <w:rFonts w:ascii="仿宋" w:eastAsia="仿宋" w:hAnsi="仿宋" w:cs="仿宋" w:hint="eastAsia"/>
          <w:b/>
          <w:sz w:val="28"/>
          <w:szCs w:val="28"/>
        </w:rPr>
      </w:pPr>
      <w:r>
        <w:rPr>
          <w:rFonts w:ascii="仿宋" w:eastAsia="仿宋" w:hAnsi="仿宋" w:cs="仿宋" w:hint="eastAsia"/>
          <w:b/>
          <w:sz w:val="28"/>
          <w:szCs w:val="28"/>
        </w:rPr>
        <w:t>财务管理</w:t>
      </w:r>
    </w:p>
    <w:p w:rsidR="0065652A" w:rsidRDefault="0065652A" w:rsidP="0065652A">
      <w:pPr>
        <w:ind w:firstLine="560"/>
        <w:rPr>
          <w:rFonts w:ascii="仿宋" w:eastAsia="仿宋" w:hAnsi="仿宋" w:cs="仿宋" w:hint="eastAsia"/>
          <w:sz w:val="28"/>
          <w:szCs w:val="28"/>
        </w:rPr>
      </w:pPr>
      <w:r>
        <w:rPr>
          <w:rFonts w:ascii="仿宋" w:eastAsia="仿宋" w:hAnsi="仿宋" w:cs="仿宋" w:hint="eastAsia"/>
          <w:sz w:val="28"/>
          <w:szCs w:val="28"/>
        </w:rPr>
        <w:t>财务管理以市中心医院为基础，覆盖市中心医院及妇保分院的财务的总帐、应收、应付、成本、现金模块的需求。在实施前进行统一方案设计，考虑以下几大方面：</w:t>
      </w:r>
    </w:p>
    <w:p w:rsidR="0065652A" w:rsidRDefault="0065652A" w:rsidP="0065652A">
      <w:pPr>
        <w:pStyle w:val="a7"/>
        <w:widowControl/>
        <w:numPr>
          <w:ilvl w:val="0"/>
          <w:numId w:val="4"/>
        </w:numPr>
        <w:ind w:firstLineChars="0"/>
        <w:jc w:val="left"/>
        <w:rPr>
          <w:rFonts w:ascii="仿宋" w:eastAsia="仿宋" w:hAnsi="仿宋" w:cs="仿宋" w:hint="eastAsia"/>
          <w:sz w:val="28"/>
          <w:szCs w:val="28"/>
        </w:rPr>
      </w:pPr>
      <w:r>
        <w:rPr>
          <w:rFonts w:ascii="仿宋" w:eastAsia="仿宋" w:hAnsi="仿宋" w:cs="仿宋" w:hint="eastAsia"/>
          <w:sz w:val="28"/>
          <w:szCs w:val="28"/>
        </w:rPr>
        <w:t>前瞻性</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t>会计科目段设计结合财务会计和管理会计的设计思想，包括集团/医院实体/科室段/会计科目/执行科室/病区段/项目段/备用段，充分考虑现有统计和核算的维度，同时保留备用段以作为市中心医院未来发展，新增需求使用；</w:t>
      </w:r>
    </w:p>
    <w:p w:rsidR="0065652A" w:rsidRDefault="0065652A" w:rsidP="0065652A">
      <w:pPr>
        <w:pStyle w:val="a7"/>
        <w:widowControl/>
        <w:numPr>
          <w:ilvl w:val="0"/>
          <w:numId w:val="4"/>
        </w:numPr>
        <w:ind w:firstLineChars="0"/>
        <w:jc w:val="left"/>
        <w:rPr>
          <w:rFonts w:ascii="仿宋" w:eastAsia="仿宋" w:hAnsi="仿宋" w:cs="仿宋" w:hint="eastAsia"/>
          <w:sz w:val="28"/>
          <w:szCs w:val="28"/>
        </w:rPr>
      </w:pPr>
      <w:r>
        <w:rPr>
          <w:rFonts w:ascii="仿宋" w:eastAsia="仿宋" w:hAnsi="仿宋" w:cs="仿宋" w:hint="eastAsia"/>
          <w:sz w:val="28"/>
          <w:szCs w:val="28"/>
        </w:rPr>
        <w:t>核算的高要求</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t>通过科目段中成本中心定义，将需进行摊销的支出类项目核算到科室细度；应收模块的使用可以提高应收账龄的分析和应收医疗款坏账准备的个别认定，满足核算更高要求；</w:t>
      </w:r>
    </w:p>
    <w:p w:rsidR="0065652A" w:rsidRDefault="0065652A" w:rsidP="0065652A">
      <w:pPr>
        <w:pStyle w:val="a7"/>
        <w:widowControl/>
        <w:numPr>
          <w:ilvl w:val="0"/>
          <w:numId w:val="4"/>
        </w:numPr>
        <w:ind w:firstLineChars="0"/>
        <w:jc w:val="left"/>
        <w:rPr>
          <w:rFonts w:ascii="仿宋" w:eastAsia="仿宋" w:hAnsi="仿宋" w:cs="仿宋" w:hint="eastAsia"/>
          <w:sz w:val="28"/>
          <w:szCs w:val="28"/>
        </w:rPr>
      </w:pPr>
      <w:r>
        <w:rPr>
          <w:rFonts w:ascii="仿宋" w:eastAsia="仿宋" w:hAnsi="仿宋" w:cs="仿宋" w:hint="eastAsia"/>
          <w:sz w:val="28"/>
          <w:szCs w:val="28"/>
        </w:rPr>
        <w:t>全面、完整性</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t>会计科目段充分考虑财务核算、成本分析和管理分析和估算控</w:t>
      </w:r>
      <w:r>
        <w:rPr>
          <w:rFonts w:ascii="仿宋" w:eastAsia="仿宋" w:hAnsi="仿宋" w:cs="仿宋" w:hint="eastAsia"/>
          <w:sz w:val="28"/>
          <w:szCs w:val="28"/>
        </w:rPr>
        <w:lastRenderedPageBreak/>
        <w:t>制；应收模块可以实现对公费和医保的管理，实现发票、收据和客户扣款处理，为财务部门提供单据汇票管理、核销、生成凭证、坏帐处理、往来对帐、帐龄分析等处理功能；</w:t>
      </w:r>
    </w:p>
    <w:p w:rsidR="0065652A" w:rsidRDefault="0065652A" w:rsidP="0065652A">
      <w:pPr>
        <w:pStyle w:val="a7"/>
        <w:widowControl/>
        <w:numPr>
          <w:ilvl w:val="0"/>
          <w:numId w:val="4"/>
        </w:numPr>
        <w:ind w:firstLineChars="0"/>
        <w:jc w:val="left"/>
        <w:rPr>
          <w:rFonts w:ascii="仿宋" w:eastAsia="仿宋" w:hAnsi="仿宋" w:cs="仿宋" w:hint="eastAsia"/>
          <w:sz w:val="28"/>
          <w:szCs w:val="28"/>
        </w:rPr>
      </w:pPr>
      <w:r>
        <w:rPr>
          <w:rFonts w:ascii="仿宋" w:eastAsia="仿宋" w:hAnsi="仿宋" w:cs="仿宋" w:hint="eastAsia"/>
          <w:sz w:val="28"/>
          <w:szCs w:val="28"/>
        </w:rPr>
        <w:t>系统集成</w:t>
      </w:r>
    </w:p>
    <w:p w:rsidR="0065652A" w:rsidRDefault="0065652A" w:rsidP="0065652A">
      <w:pPr>
        <w:ind w:left="840" w:firstLineChars="0" w:firstLine="0"/>
        <w:rPr>
          <w:rFonts w:ascii="仿宋" w:eastAsia="仿宋" w:hAnsi="仿宋" w:cs="仿宋" w:hint="eastAsia"/>
          <w:sz w:val="28"/>
          <w:szCs w:val="28"/>
        </w:rPr>
      </w:pPr>
      <w:r>
        <w:rPr>
          <w:rFonts w:ascii="仿宋" w:eastAsia="仿宋" w:hAnsi="仿宋" w:cs="仿宋" w:hint="eastAsia"/>
          <w:sz w:val="28"/>
          <w:szCs w:val="28"/>
        </w:rPr>
        <w:t>充分考虑GL与HIS等系统的集成。</w:t>
      </w:r>
    </w:p>
    <w:p w:rsidR="0065652A" w:rsidRDefault="0065652A" w:rsidP="0065652A">
      <w:pPr>
        <w:numPr>
          <w:ilvl w:val="0"/>
          <w:numId w:val="3"/>
        </w:numPr>
        <w:ind w:firstLineChars="0"/>
        <w:rPr>
          <w:rFonts w:ascii="仿宋" w:eastAsia="仿宋" w:hAnsi="仿宋" w:cs="仿宋" w:hint="eastAsia"/>
          <w:b/>
          <w:sz w:val="28"/>
          <w:szCs w:val="28"/>
        </w:rPr>
      </w:pPr>
      <w:r>
        <w:rPr>
          <w:rFonts w:ascii="仿宋" w:eastAsia="仿宋" w:hAnsi="仿宋" w:cs="仿宋" w:hint="eastAsia"/>
          <w:b/>
          <w:sz w:val="28"/>
          <w:szCs w:val="28"/>
        </w:rPr>
        <w:t>物资管理</w:t>
      </w:r>
    </w:p>
    <w:p w:rsidR="0065652A" w:rsidRDefault="0065652A" w:rsidP="0065652A">
      <w:pPr>
        <w:ind w:left="780" w:firstLineChars="0" w:firstLine="0"/>
        <w:rPr>
          <w:rFonts w:ascii="仿宋" w:eastAsia="仿宋" w:hAnsi="仿宋" w:cs="仿宋" w:hint="eastAsia"/>
          <w:sz w:val="28"/>
          <w:szCs w:val="28"/>
        </w:rPr>
      </w:pPr>
      <w:r>
        <w:rPr>
          <w:rFonts w:ascii="仿宋" w:eastAsia="仿宋" w:hAnsi="仿宋" w:cs="仿宋" w:hint="eastAsia"/>
          <w:sz w:val="28"/>
          <w:szCs w:val="28"/>
        </w:rPr>
        <w:t>物资管理涉及市中心医院及妇保分院的供应链管理和医院的高值耗材、低值耗材以及相关的采购及库存管理。以市中心医院现有系统流程为基础，进行集团化改造并在妇保分院进行实施。</w:t>
      </w:r>
    </w:p>
    <w:p w:rsidR="0065652A" w:rsidRDefault="0065652A" w:rsidP="0065652A">
      <w:pPr>
        <w:pStyle w:val="3"/>
        <w:rPr>
          <w:rFonts w:ascii="仿宋" w:eastAsia="仿宋" w:hAnsi="仿宋" w:cs="仿宋" w:hint="eastAsia"/>
        </w:rPr>
      </w:pPr>
      <w:bookmarkStart w:id="4" w:name="_Toc526784824"/>
      <w:r>
        <w:rPr>
          <w:rFonts w:ascii="仿宋" w:eastAsia="仿宋" w:hAnsi="仿宋" w:cs="仿宋" w:hint="eastAsia"/>
        </w:rPr>
        <w:t>运维服务</w:t>
      </w:r>
      <w:bookmarkEnd w:id="4"/>
    </w:p>
    <w:tbl>
      <w:tblPr>
        <w:tblW w:w="8367" w:type="dxa"/>
        <w:jc w:val="center"/>
        <w:tblLayout w:type="fixed"/>
        <w:tblCellMar>
          <w:left w:w="30" w:type="dxa"/>
          <w:right w:w="30" w:type="dxa"/>
        </w:tblCellMar>
        <w:tblLook w:val="0000"/>
      </w:tblPr>
      <w:tblGrid>
        <w:gridCol w:w="1056"/>
        <w:gridCol w:w="7311"/>
      </w:tblGrid>
      <w:tr w:rsidR="002C4D51" w:rsidTr="00FF7F59">
        <w:trPr>
          <w:trHeight w:val="797"/>
          <w:jc w:val="center"/>
        </w:trPr>
        <w:tc>
          <w:tcPr>
            <w:tcW w:w="1056" w:type="dxa"/>
            <w:tcBorders>
              <w:top w:val="single" w:sz="6" w:space="0" w:color="auto"/>
              <w:left w:val="single" w:sz="6" w:space="0" w:color="auto"/>
              <w:bottom w:val="single" w:sz="6" w:space="0" w:color="auto"/>
              <w:right w:val="single" w:sz="6" w:space="0" w:color="auto"/>
            </w:tcBorders>
            <w:shd w:val="clear" w:color="auto" w:fill="FFFFCC"/>
            <w:vAlign w:val="center"/>
          </w:tcPr>
          <w:p w:rsidR="002C4D51" w:rsidRDefault="002C4D51" w:rsidP="00FC37F5">
            <w:pPr>
              <w:spacing w:line="240" w:lineRule="auto"/>
              <w:ind w:firstLineChars="0" w:firstLine="0"/>
              <w:jc w:val="center"/>
              <w:rPr>
                <w:rStyle w:val="a5"/>
                <w:rFonts w:ascii="仿宋" w:eastAsia="仿宋" w:hAnsi="仿宋" w:cs="仿宋" w:hint="eastAsia"/>
                <w:sz w:val="22"/>
              </w:rPr>
            </w:pPr>
            <w:r>
              <w:rPr>
                <w:rStyle w:val="a5"/>
                <w:rFonts w:ascii="仿宋" w:eastAsia="仿宋" w:hAnsi="仿宋" w:cs="仿宋" w:hint="eastAsia"/>
                <w:sz w:val="22"/>
              </w:rPr>
              <w:t>序号</w:t>
            </w:r>
          </w:p>
        </w:tc>
        <w:tc>
          <w:tcPr>
            <w:tcW w:w="7311" w:type="dxa"/>
            <w:tcBorders>
              <w:top w:val="single" w:sz="6" w:space="0" w:color="auto"/>
              <w:left w:val="single" w:sz="6" w:space="0" w:color="auto"/>
              <w:bottom w:val="single" w:sz="6" w:space="0" w:color="auto"/>
              <w:right w:val="single" w:sz="6" w:space="0" w:color="auto"/>
            </w:tcBorders>
            <w:shd w:val="clear" w:color="auto" w:fill="FFFFCC"/>
            <w:vAlign w:val="center"/>
          </w:tcPr>
          <w:p w:rsidR="002C4D51" w:rsidRDefault="002C4D51" w:rsidP="00FC37F5">
            <w:pPr>
              <w:spacing w:line="240" w:lineRule="auto"/>
              <w:ind w:firstLine="442"/>
              <w:jc w:val="center"/>
              <w:rPr>
                <w:rStyle w:val="a5"/>
                <w:rFonts w:ascii="仿宋" w:eastAsia="仿宋" w:hAnsi="仿宋" w:cs="仿宋" w:hint="eastAsia"/>
                <w:sz w:val="22"/>
              </w:rPr>
            </w:pPr>
            <w:r>
              <w:rPr>
                <w:rStyle w:val="a5"/>
                <w:rFonts w:ascii="仿宋" w:eastAsia="仿宋" w:hAnsi="仿宋" w:cs="仿宋" w:hint="eastAsia"/>
                <w:sz w:val="22"/>
              </w:rPr>
              <w:t>服务名称</w:t>
            </w:r>
          </w:p>
        </w:tc>
      </w:tr>
      <w:tr w:rsidR="002C4D51" w:rsidTr="00993079">
        <w:trPr>
          <w:cantSplit/>
          <w:trHeight w:val="482"/>
          <w:jc w:val="center"/>
        </w:trPr>
        <w:tc>
          <w:tcPr>
            <w:tcW w:w="1056" w:type="dxa"/>
            <w:vMerge w:val="restart"/>
            <w:tcBorders>
              <w:top w:val="single" w:sz="6" w:space="0" w:color="auto"/>
              <w:left w:val="single" w:sz="6" w:space="0" w:color="auto"/>
              <w:right w:val="single" w:sz="6" w:space="0" w:color="auto"/>
            </w:tcBorders>
            <w:vAlign w:val="center"/>
          </w:tcPr>
          <w:p w:rsidR="002C4D51" w:rsidRDefault="002C4D51" w:rsidP="00FC37F5">
            <w:pPr>
              <w:spacing w:line="240" w:lineRule="auto"/>
              <w:ind w:firstLine="440"/>
              <w:rPr>
                <w:rFonts w:ascii="仿宋" w:eastAsia="仿宋" w:hAnsi="仿宋" w:cs="仿宋" w:hint="eastAsia"/>
                <w:sz w:val="22"/>
              </w:rPr>
            </w:pPr>
            <w:r>
              <w:rPr>
                <w:rFonts w:ascii="仿宋" w:eastAsia="仿宋" w:hAnsi="仿宋" w:cs="仿宋" w:hint="eastAsia"/>
                <w:sz w:val="22"/>
              </w:rPr>
              <w:t>1</w:t>
            </w:r>
          </w:p>
        </w:tc>
        <w:tc>
          <w:tcPr>
            <w:tcW w:w="7311" w:type="dxa"/>
            <w:tcBorders>
              <w:top w:val="single" w:sz="6" w:space="0" w:color="auto"/>
              <w:left w:val="single" w:sz="6" w:space="0" w:color="auto"/>
              <w:bottom w:val="single" w:sz="6" w:space="0" w:color="auto"/>
              <w:right w:val="single" w:sz="6" w:space="0" w:color="auto"/>
            </w:tcBorders>
            <w:vAlign w:val="center"/>
          </w:tcPr>
          <w:p w:rsidR="002C4D51" w:rsidRDefault="002C4D51" w:rsidP="002C4D51">
            <w:pPr>
              <w:spacing w:line="240" w:lineRule="auto"/>
              <w:ind w:firstLine="440"/>
              <w:rPr>
                <w:rFonts w:ascii="仿宋" w:eastAsia="仿宋" w:hAnsi="仿宋" w:cs="仿宋" w:hint="eastAsia"/>
                <w:sz w:val="22"/>
              </w:rPr>
            </w:pPr>
            <w:r>
              <w:rPr>
                <w:rFonts w:ascii="仿宋" w:eastAsia="仿宋" w:hAnsi="仿宋" w:cs="仿宋" w:hint="eastAsia"/>
                <w:sz w:val="22"/>
              </w:rPr>
              <w:t>BUG修改</w:t>
            </w:r>
          </w:p>
        </w:tc>
      </w:tr>
      <w:tr w:rsidR="0065652A" w:rsidTr="002C4D51">
        <w:trPr>
          <w:cantSplit/>
          <w:trHeight w:val="1390"/>
          <w:jc w:val="center"/>
        </w:trPr>
        <w:tc>
          <w:tcPr>
            <w:tcW w:w="1056" w:type="dxa"/>
            <w:vMerge/>
            <w:tcBorders>
              <w:left w:val="single" w:sz="6" w:space="0" w:color="auto"/>
              <w:right w:val="single" w:sz="6" w:space="0" w:color="auto"/>
            </w:tcBorders>
            <w:vAlign w:val="center"/>
          </w:tcPr>
          <w:p w:rsidR="0065652A" w:rsidRDefault="0065652A" w:rsidP="00FC37F5">
            <w:pPr>
              <w:spacing w:line="240" w:lineRule="auto"/>
              <w:ind w:firstLine="440"/>
              <w:rPr>
                <w:rFonts w:ascii="仿宋" w:eastAsia="仿宋" w:hAnsi="仿宋" w:cs="仿宋" w:hint="eastAsia"/>
                <w:sz w:val="22"/>
              </w:rPr>
            </w:pPr>
          </w:p>
        </w:tc>
        <w:tc>
          <w:tcPr>
            <w:tcW w:w="7311" w:type="dxa"/>
            <w:tcBorders>
              <w:top w:val="single" w:sz="6" w:space="0" w:color="auto"/>
              <w:left w:val="single" w:sz="6" w:space="0" w:color="auto"/>
              <w:bottom w:val="single" w:sz="6" w:space="0" w:color="auto"/>
              <w:right w:val="single" w:sz="6" w:space="0" w:color="auto"/>
            </w:tcBorders>
            <w:vAlign w:val="center"/>
          </w:tcPr>
          <w:p w:rsidR="0065652A" w:rsidRDefault="0065652A" w:rsidP="00FC37F5">
            <w:pPr>
              <w:spacing w:line="240" w:lineRule="auto"/>
              <w:ind w:firstLine="440"/>
              <w:rPr>
                <w:rFonts w:ascii="仿宋" w:eastAsia="仿宋" w:hAnsi="仿宋" w:cs="仿宋" w:hint="eastAsia"/>
                <w:sz w:val="22"/>
              </w:rPr>
            </w:pPr>
            <w:r>
              <w:rPr>
                <w:rFonts w:ascii="仿宋" w:eastAsia="仿宋" w:hAnsi="仿宋" w:cs="仿宋" w:hint="eastAsia"/>
                <w:sz w:val="22"/>
              </w:rPr>
              <w:t>A、合同明确的建设内容开发维护；</w:t>
            </w:r>
          </w:p>
          <w:p w:rsidR="0065652A" w:rsidRDefault="0065652A" w:rsidP="00FC37F5">
            <w:pPr>
              <w:spacing w:line="240" w:lineRule="auto"/>
              <w:ind w:firstLine="440"/>
              <w:rPr>
                <w:rFonts w:ascii="仿宋" w:eastAsia="仿宋" w:hAnsi="仿宋" w:cs="仿宋" w:hint="eastAsia"/>
                <w:sz w:val="22"/>
              </w:rPr>
            </w:pPr>
            <w:r>
              <w:rPr>
                <w:rFonts w:ascii="仿宋" w:eastAsia="仿宋" w:hAnsi="仿宋" w:cs="仿宋" w:hint="eastAsia"/>
                <w:sz w:val="22"/>
              </w:rPr>
              <w:t>B、即时响应；对影响生产的软件故障提供7*24小时服务，6小时内提供补救方案，24小时内修正；对不影响生产的软件故障，提供7*24小时服务，48小时内修正；</w:t>
            </w:r>
          </w:p>
          <w:p w:rsidR="0065652A" w:rsidRDefault="0065652A" w:rsidP="00FC37F5">
            <w:pPr>
              <w:spacing w:line="240" w:lineRule="auto"/>
              <w:ind w:firstLine="440"/>
              <w:rPr>
                <w:rFonts w:ascii="仿宋" w:eastAsia="仿宋" w:hAnsi="仿宋" w:cs="仿宋" w:hint="eastAsia"/>
                <w:sz w:val="22"/>
              </w:rPr>
            </w:pPr>
            <w:r>
              <w:rPr>
                <w:rFonts w:ascii="仿宋" w:eastAsia="仿宋" w:hAnsi="仿宋" w:cs="仿宋" w:hint="eastAsia"/>
                <w:sz w:val="22"/>
              </w:rPr>
              <w:t>C、远程服务：24小时电话支持、传真、电子邮件、远程技术管理；</w:t>
            </w:r>
          </w:p>
        </w:tc>
      </w:tr>
      <w:tr w:rsidR="002C4D51" w:rsidTr="00BD21F0">
        <w:trPr>
          <w:cantSplit/>
          <w:trHeight w:val="561"/>
          <w:jc w:val="center"/>
        </w:trPr>
        <w:tc>
          <w:tcPr>
            <w:tcW w:w="1056" w:type="dxa"/>
            <w:vMerge w:val="restart"/>
            <w:tcBorders>
              <w:top w:val="single" w:sz="6" w:space="0" w:color="auto"/>
              <w:left w:val="single" w:sz="6" w:space="0" w:color="auto"/>
              <w:right w:val="single" w:sz="6" w:space="0" w:color="auto"/>
            </w:tcBorders>
            <w:vAlign w:val="center"/>
          </w:tcPr>
          <w:p w:rsidR="002C4D51" w:rsidRDefault="002C4D51" w:rsidP="00FC37F5">
            <w:pPr>
              <w:spacing w:line="240" w:lineRule="auto"/>
              <w:ind w:firstLine="440"/>
              <w:rPr>
                <w:rFonts w:ascii="仿宋" w:eastAsia="仿宋" w:hAnsi="仿宋" w:cs="仿宋" w:hint="eastAsia"/>
                <w:sz w:val="22"/>
              </w:rPr>
            </w:pPr>
            <w:r>
              <w:rPr>
                <w:rFonts w:ascii="仿宋" w:eastAsia="仿宋" w:hAnsi="仿宋" w:cs="仿宋" w:hint="eastAsia"/>
                <w:sz w:val="22"/>
              </w:rPr>
              <w:t>2</w:t>
            </w:r>
          </w:p>
        </w:tc>
        <w:tc>
          <w:tcPr>
            <w:tcW w:w="7311" w:type="dxa"/>
            <w:tcBorders>
              <w:top w:val="single" w:sz="6" w:space="0" w:color="auto"/>
              <w:left w:val="single" w:sz="6" w:space="0" w:color="auto"/>
              <w:bottom w:val="single" w:sz="6" w:space="0" w:color="auto"/>
              <w:right w:val="single" w:sz="6" w:space="0" w:color="auto"/>
            </w:tcBorders>
            <w:vAlign w:val="center"/>
          </w:tcPr>
          <w:p w:rsidR="002C4D51" w:rsidRDefault="002C4D51" w:rsidP="002C4D51">
            <w:pPr>
              <w:spacing w:line="240" w:lineRule="auto"/>
              <w:ind w:firstLine="440"/>
              <w:rPr>
                <w:rFonts w:ascii="仿宋" w:eastAsia="仿宋" w:hAnsi="仿宋" w:cs="仿宋" w:hint="eastAsia"/>
                <w:sz w:val="22"/>
              </w:rPr>
            </w:pPr>
            <w:r>
              <w:rPr>
                <w:rFonts w:ascii="仿宋" w:eastAsia="仿宋" w:hAnsi="仿宋" w:cs="仿宋" w:hint="eastAsia"/>
                <w:sz w:val="22"/>
              </w:rPr>
              <w:t>售后服务</w:t>
            </w:r>
          </w:p>
        </w:tc>
      </w:tr>
      <w:tr w:rsidR="0065652A" w:rsidTr="002C4D51">
        <w:trPr>
          <w:cantSplit/>
          <w:trHeight w:val="651"/>
          <w:jc w:val="center"/>
        </w:trPr>
        <w:tc>
          <w:tcPr>
            <w:tcW w:w="1056" w:type="dxa"/>
            <w:vMerge/>
            <w:tcBorders>
              <w:left w:val="single" w:sz="6" w:space="0" w:color="auto"/>
              <w:right w:val="single" w:sz="6" w:space="0" w:color="auto"/>
            </w:tcBorders>
            <w:vAlign w:val="center"/>
          </w:tcPr>
          <w:p w:rsidR="0065652A" w:rsidRDefault="0065652A" w:rsidP="00FC37F5">
            <w:pPr>
              <w:spacing w:line="240" w:lineRule="auto"/>
              <w:ind w:firstLine="440"/>
              <w:rPr>
                <w:rFonts w:ascii="仿宋" w:eastAsia="仿宋" w:hAnsi="仿宋" w:cs="仿宋" w:hint="eastAsia"/>
                <w:sz w:val="22"/>
              </w:rPr>
            </w:pPr>
          </w:p>
        </w:tc>
        <w:tc>
          <w:tcPr>
            <w:tcW w:w="7311" w:type="dxa"/>
            <w:tcBorders>
              <w:top w:val="single" w:sz="6" w:space="0" w:color="auto"/>
              <w:left w:val="single" w:sz="6" w:space="0" w:color="auto"/>
              <w:bottom w:val="single" w:sz="6" w:space="0" w:color="auto"/>
              <w:right w:val="single" w:sz="6" w:space="0" w:color="auto"/>
            </w:tcBorders>
            <w:vAlign w:val="center"/>
          </w:tcPr>
          <w:p w:rsidR="0065652A" w:rsidRDefault="0065652A" w:rsidP="0065652A">
            <w:pPr>
              <w:numPr>
                <w:ilvl w:val="0"/>
                <w:numId w:val="5"/>
              </w:numPr>
              <w:spacing w:line="240" w:lineRule="auto"/>
              <w:ind w:firstLineChars="0" w:firstLine="420"/>
              <w:jc w:val="left"/>
              <w:rPr>
                <w:rFonts w:ascii="仿宋" w:eastAsia="仿宋" w:hAnsi="仿宋" w:cs="仿宋" w:hint="eastAsia"/>
                <w:sz w:val="22"/>
              </w:rPr>
            </w:pPr>
            <w:r>
              <w:rPr>
                <w:rFonts w:ascii="仿宋" w:eastAsia="仿宋" w:hAnsi="仿宋" w:cs="仿宋" w:hint="eastAsia"/>
                <w:sz w:val="22"/>
              </w:rPr>
              <w:t>根据</w:t>
            </w:r>
            <w:r w:rsidR="002C4D51">
              <w:rPr>
                <w:rFonts w:ascii="仿宋" w:eastAsia="仿宋" w:hAnsi="仿宋" w:cs="仿宋" w:hint="eastAsia"/>
                <w:sz w:val="22"/>
              </w:rPr>
              <w:t>医院</w:t>
            </w:r>
            <w:r>
              <w:rPr>
                <w:rFonts w:ascii="仿宋" w:eastAsia="仿宋" w:hAnsi="仿宋" w:cs="仿宋" w:hint="eastAsia"/>
                <w:sz w:val="22"/>
              </w:rPr>
              <w:t>提出的新增需求进行系统功能升级（不包括UI页面效果升级。</w:t>
            </w:r>
          </w:p>
          <w:p w:rsidR="0065652A" w:rsidRDefault="0065652A" w:rsidP="00FC37F5">
            <w:pPr>
              <w:spacing w:line="240" w:lineRule="auto"/>
              <w:ind w:firstLine="440"/>
              <w:jc w:val="left"/>
              <w:rPr>
                <w:rFonts w:ascii="仿宋" w:eastAsia="仿宋" w:hAnsi="仿宋" w:cs="仿宋" w:hint="eastAsia"/>
                <w:sz w:val="22"/>
              </w:rPr>
            </w:pPr>
            <w:r>
              <w:rPr>
                <w:rFonts w:ascii="仿宋" w:eastAsia="仿宋" w:hAnsi="仿宋" w:cs="仿宋" w:hint="eastAsia"/>
                <w:sz w:val="22"/>
              </w:rPr>
              <w:t>B、即时响应；对影响生产的软件故障提供7*24小时服务，6小时内提供补救方案，24小时内修正；对不影响生产的软件故障，提供7*24小时服务，48小时内修正；</w:t>
            </w:r>
          </w:p>
          <w:p w:rsidR="0065652A" w:rsidRDefault="0065652A" w:rsidP="00FC37F5">
            <w:pPr>
              <w:spacing w:line="240" w:lineRule="auto"/>
              <w:ind w:firstLine="440"/>
              <w:rPr>
                <w:rFonts w:ascii="仿宋" w:eastAsia="仿宋" w:hAnsi="仿宋" w:cs="仿宋" w:hint="eastAsia"/>
                <w:sz w:val="22"/>
              </w:rPr>
            </w:pPr>
            <w:r>
              <w:rPr>
                <w:rFonts w:ascii="仿宋" w:eastAsia="仿宋" w:hAnsi="仿宋" w:cs="仿宋" w:hint="eastAsia"/>
                <w:sz w:val="22"/>
              </w:rPr>
              <w:t>C、远程服务：24小时电话支持、传真、电子邮件、远程技术管理；</w:t>
            </w:r>
          </w:p>
          <w:p w:rsidR="0065652A" w:rsidRDefault="0065652A" w:rsidP="002C4D51">
            <w:pPr>
              <w:spacing w:line="240" w:lineRule="auto"/>
              <w:ind w:firstLine="440"/>
              <w:rPr>
                <w:rFonts w:ascii="仿宋" w:eastAsia="仿宋" w:hAnsi="仿宋" w:cs="仿宋" w:hint="eastAsia"/>
                <w:sz w:val="22"/>
              </w:rPr>
            </w:pPr>
            <w:r>
              <w:rPr>
                <w:rFonts w:ascii="仿宋" w:eastAsia="仿宋" w:hAnsi="仿宋" w:cs="仿宋" w:hint="eastAsia"/>
                <w:sz w:val="22"/>
              </w:rPr>
              <w:t>D、上门服务：在每年的有效的运维服务期内，提供3次免费上门服务</w:t>
            </w:r>
          </w:p>
        </w:tc>
      </w:tr>
    </w:tbl>
    <w:p w:rsidR="004A7FE3" w:rsidRPr="0065652A" w:rsidRDefault="004A7FE3" w:rsidP="0065652A">
      <w:pPr>
        <w:ind w:firstLine="480"/>
      </w:pPr>
    </w:p>
    <w:sectPr w:rsidR="004A7FE3" w:rsidRPr="006565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E3" w:rsidRDefault="004A7FE3" w:rsidP="0065652A">
      <w:pPr>
        <w:spacing w:line="240" w:lineRule="auto"/>
        <w:ind w:firstLine="480"/>
      </w:pPr>
      <w:r>
        <w:separator/>
      </w:r>
    </w:p>
  </w:endnote>
  <w:endnote w:type="continuationSeparator" w:id="1">
    <w:p w:rsidR="004A7FE3" w:rsidRDefault="004A7FE3" w:rsidP="0065652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E3" w:rsidRDefault="004A7FE3" w:rsidP="0065652A">
      <w:pPr>
        <w:spacing w:line="240" w:lineRule="auto"/>
        <w:ind w:firstLine="480"/>
      </w:pPr>
      <w:r>
        <w:separator/>
      </w:r>
    </w:p>
  </w:footnote>
  <w:footnote w:type="continuationSeparator" w:id="1">
    <w:p w:rsidR="004A7FE3" w:rsidRDefault="004A7FE3" w:rsidP="0065652A">
      <w:pPr>
        <w:spacing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7DA"/>
    <w:multiLevelType w:val="multilevel"/>
    <w:tmpl w:val="046A77DA"/>
    <w:lvl w:ilvl="0">
      <w:start w:val="1"/>
      <w:numFmt w:val="bullet"/>
      <w:lvlText w:val=""/>
      <w:lvlJc w:val="left"/>
      <w:pPr>
        <w:ind w:left="1142" w:hanging="360"/>
      </w:pPr>
      <w:rPr>
        <w:rFonts w:ascii="Symbol" w:hAnsi="Symbol" w:hint="default"/>
      </w:rPr>
    </w:lvl>
    <w:lvl w:ilvl="1">
      <w:start w:val="1"/>
      <w:numFmt w:val="bullet"/>
      <w:lvlText w:val="o"/>
      <w:lvlJc w:val="left"/>
      <w:pPr>
        <w:ind w:left="1862" w:hanging="360"/>
      </w:pPr>
      <w:rPr>
        <w:rFonts w:ascii="Courier New" w:hAnsi="Courier New" w:cs="Courier New" w:hint="default"/>
      </w:rPr>
    </w:lvl>
    <w:lvl w:ilvl="2">
      <w:start w:val="1"/>
      <w:numFmt w:val="bullet"/>
      <w:lvlText w:val=""/>
      <w:lvlJc w:val="left"/>
      <w:pPr>
        <w:ind w:left="2582" w:hanging="360"/>
      </w:pPr>
      <w:rPr>
        <w:rFonts w:ascii="Wingdings" w:hAnsi="Wingdings" w:hint="default"/>
      </w:rPr>
    </w:lvl>
    <w:lvl w:ilvl="3">
      <w:start w:val="1"/>
      <w:numFmt w:val="bullet"/>
      <w:lvlText w:val=""/>
      <w:lvlJc w:val="left"/>
      <w:pPr>
        <w:ind w:left="3302" w:hanging="360"/>
      </w:pPr>
      <w:rPr>
        <w:rFonts w:ascii="Symbol" w:hAnsi="Symbol" w:hint="default"/>
      </w:rPr>
    </w:lvl>
    <w:lvl w:ilvl="4">
      <w:start w:val="1"/>
      <w:numFmt w:val="bullet"/>
      <w:lvlText w:val="o"/>
      <w:lvlJc w:val="left"/>
      <w:pPr>
        <w:ind w:left="4022" w:hanging="360"/>
      </w:pPr>
      <w:rPr>
        <w:rFonts w:ascii="Courier New" w:hAnsi="Courier New" w:cs="Courier New" w:hint="default"/>
      </w:rPr>
    </w:lvl>
    <w:lvl w:ilvl="5">
      <w:start w:val="1"/>
      <w:numFmt w:val="bullet"/>
      <w:lvlText w:val=""/>
      <w:lvlJc w:val="left"/>
      <w:pPr>
        <w:ind w:left="4742" w:hanging="360"/>
      </w:pPr>
      <w:rPr>
        <w:rFonts w:ascii="Wingdings" w:hAnsi="Wingdings" w:hint="default"/>
      </w:rPr>
    </w:lvl>
    <w:lvl w:ilvl="6">
      <w:start w:val="1"/>
      <w:numFmt w:val="bullet"/>
      <w:lvlText w:val=""/>
      <w:lvlJc w:val="left"/>
      <w:pPr>
        <w:ind w:left="5462" w:hanging="360"/>
      </w:pPr>
      <w:rPr>
        <w:rFonts w:ascii="Symbol" w:hAnsi="Symbol" w:hint="default"/>
      </w:rPr>
    </w:lvl>
    <w:lvl w:ilvl="7">
      <w:start w:val="1"/>
      <w:numFmt w:val="bullet"/>
      <w:lvlText w:val="o"/>
      <w:lvlJc w:val="left"/>
      <w:pPr>
        <w:ind w:left="6182" w:hanging="360"/>
      </w:pPr>
      <w:rPr>
        <w:rFonts w:ascii="Courier New" w:hAnsi="Courier New" w:cs="Courier New" w:hint="default"/>
      </w:rPr>
    </w:lvl>
    <w:lvl w:ilvl="8">
      <w:start w:val="1"/>
      <w:numFmt w:val="bullet"/>
      <w:lvlText w:val=""/>
      <w:lvlJc w:val="left"/>
      <w:pPr>
        <w:ind w:left="6902" w:hanging="360"/>
      </w:pPr>
      <w:rPr>
        <w:rFonts w:ascii="Wingdings" w:hAnsi="Wingdings" w:hint="default"/>
      </w:rPr>
    </w:lvl>
  </w:abstractNum>
  <w:abstractNum w:abstractNumId="1">
    <w:nsid w:val="475A1131"/>
    <w:multiLevelType w:val="multilevel"/>
    <w:tmpl w:val="475A1131"/>
    <w:lvl w:ilvl="0">
      <w:start w:val="1"/>
      <w:numFmt w:val="decimal"/>
      <w:lvlText w:val="%1)"/>
      <w:lvlJc w:val="left"/>
      <w:pPr>
        <w:ind w:left="874" w:hanging="420"/>
      </w:pPr>
    </w:lvl>
    <w:lvl w:ilvl="1">
      <w:start w:val="1"/>
      <w:numFmt w:val="decimalEnclosedCircle"/>
      <w:lvlText w:val="%2"/>
      <w:lvlJc w:val="left"/>
      <w:pPr>
        <w:ind w:left="1234" w:hanging="360"/>
      </w:pPr>
      <w:rPr>
        <w:rFonts w:ascii="微软雅黑" w:eastAsia="微软雅黑" w:hAnsi="微软雅黑" w:cs="宋体" w:hint="default"/>
        <w:b/>
        <w:sz w:val="18"/>
      </w:r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
    <w:nsid w:val="53B03CB1"/>
    <w:multiLevelType w:val="multilevel"/>
    <w:tmpl w:val="53B03CB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B1354D"/>
    <w:multiLevelType w:val="multilevel"/>
    <w:tmpl w:val="55B1354D"/>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636567A2"/>
    <w:multiLevelType w:val="multilevel"/>
    <w:tmpl w:val="598A989A"/>
    <w:lvl w:ilvl="0">
      <w:start w:val="1"/>
      <w:numFmt w:val="decimal"/>
      <w:lvlText w:val="%1."/>
      <w:lvlJc w:val="left"/>
      <w:pPr>
        <w:ind w:left="425" w:hanging="425"/>
      </w:pPr>
      <w:rPr>
        <w:rFonts w:hint="eastAsia"/>
        <w:sz w:val="44"/>
        <w:szCs w:val="44"/>
      </w:rPr>
    </w:lvl>
    <w:lvl w:ilvl="1">
      <w:start w:val="1"/>
      <w:numFmt w:val="decimal"/>
      <w:lvlText w:val="%1.%2."/>
      <w:lvlJc w:val="left"/>
      <w:pPr>
        <w:ind w:left="567" w:hanging="567"/>
      </w:pPr>
      <w:rPr>
        <w:rFonts w:hint="eastAsia"/>
      </w:rPr>
    </w:lvl>
    <w:lvl w:ilvl="2">
      <w:start w:val="1"/>
      <w:numFmt w:val="decimal"/>
      <w:lvlText w:val="%3."/>
      <w:lvlJc w:val="left"/>
      <w:pPr>
        <w:ind w:left="709" w:hanging="709"/>
      </w:pPr>
      <w:rPr>
        <w:rFonts w:hint="eastAsia"/>
        <w: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cs="Times New Roman" w:hint="eastAsia"/>
        <w:bCs w:val="0"/>
        <w:i w:val="0"/>
        <w:iCs w:val="0"/>
        <w:caps w:val="0"/>
        <w:smallCaps w:val="0"/>
        <w:strike w:val="0"/>
        <w:dstrike w:val="0"/>
        <w:outline w:val="0"/>
        <w:shadow w:val="0"/>
        <w:emboss w:val="0"/>
        <w:imprint w:val="0"/>
        <w:vanish w:val="0"/>
        <w:spacing w:val="0"/>
        <w:position w:val="0"/>
        <w:u w:val="none"/>
        <w:vertAlign w:val="baseline"/>
        <w:em w:val="none"/>
      </w:rPr>
    </w:lvl>
    <w:lvl w:ilvl="8">
      <w:start w:val="1"/>
      <w:numFmt w:val="decimal"/>
      <w:lvlText w:val="%1.%2.%3.%4.%5.%6.%7.%8.%9."/>
      <w:lvlJc w:val="left"/>
      <w:pPr>
        <w:ind w:left="1559" w:hanging="1559"/>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52A"/>
    <w:rsid w:val="002C4D51"/>
    <w:rsid w:val="004A7FE3"/>
    <w:rsid w:val="0065652A"/>
    <w:rsid w:val="00D43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652A"/>
    <w:pPr>
      <w:widowControl w:val="0"/>
      <w:adjustRightInd w:val="0"/>
      <w:snapToGrid w:val="0"/>
      <w:spacing w:line="360" w:lineRule="auto"/>
      <w:ind w:firstLineChars="200" w:firstLine="200"/>
      <w:jc w:val="both"/>
    </w:pPr>
    <w:rPr>
      <w:rFonts w:ascii="Times New Roman" w:eastAsia="宋体" w:hAnsi="Times New Roman" w:cs="Times New Roman"/>
      <w:sz w:val="24"/>
    </w:rPr>
  </w:style>
  <w:style w:type="paragraph" w:styleId="2">
    <w:name w:val="heading 2"/>
    <w:basedOn w:val="a"/>
    <w:next w:val="a"/>
    <w:link w:val="2Char"/>
    <w:qFormat/>
    <w:rsid w:val="0065652A"/>
    <w:pPr>
      <w:keepNext/>
      <w:keepLines/>
      <w:numPr>
        <w:ilvl w:val="1"/>
        <w:numId w:val="1"/>
      </w:numPr>
      <w:ind w:firstLineChars="0"/>
      <w:jc w:val="left"/>
      <w:outlineLvl w:val="1"/>
    </w:pPr>
    <w:rPr>
      <w:b/>
      <w:bCs/>
      <w:sz w:val="32"/>
      <w:szCs w:val="32"/>
    </w:rPr>
  </w:style>
  <w:style w:type="paragraph" w:styleId="3">
    <w:name w:val="heading 3"/>
    <w:basedOn w:val="a"/>
    <w:next w:val="a"/>
    <w:link w:val="3Char"/>
    <w:uiPriority w:val="99"/>
    <w:qFormat/>
    <w:rsid w:val="0065652A"/>
    <w:pPr>
      <w:keepNext/>
      <w:keepLines/>
      <w:numPr>
        <w:ilvl w:val="2"/>
        <w:numId w:val="1"/>
      </w:numPr>
      <w:ind w:left="0" w:firstLineChars="0"/>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52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5652A"/>
    <w:rPr>
      <w:sz w:val="18"/>
      <w:szCs w:val="18"/>
    </w:rPr>
  </w:style>
  <w:style w:type="paragraph" w:styleId="a4">
    <w:name w:val="footer"/>
    <w:basedOn w:val="a"/>
    <w:link w:val="Char0"/>
    <w:uiPriority w:val="99"/>
    <w:semiHidden/>
    <w:unhideWhenUsed/>
    <w:rsid w:val="0065652A"/>
    <w:pPr>
      <w:tabs>
        <w:tab w:val="center" w:pos="4153"/>
        <w:tab w:val="right" w:pos="8306"/>
      </w:tabs>
      <w:jc w:val="left"/>
    </w:pPr>
    <w:rPr>
      <w:sz w:val="18"/>
      <w:szCs w:val="18"/>
    </w:rPr>
  </w:style>
  <w:style w:type="character" w:customStyle="1" w:styleId="Char0">
    <w:name w:val="页脚 Char"/>
    <w:basedOn w:val="a0"/>
    <w:link w:val="a4"/>
    <w:uiPriority w:val="99"/>
    <w:semiHidden/>
    <w:rsid w:val="0065652A"/>
    <w:rPr>
      <w:sz w:val="18"/>
      <w:szCs w:val="18"/>
    </w:rPr>
  </w:style>
  <w:style w:type="character" w:customStyle="1" w:styleId="2Char">
    <w:name w:val="标题 2 Char"/>
    <w:basedOn w:val="a0"/>
    <w:link w:val="2"/>
    <w:rsid w:val="0065652A"/>
    <w:rPr>
      <w:rFonts w:ascii="Times New Roman" w:eastAsia="宋体" w:hAnsi="Times New Roman" w:cs="Times New Roman"/>
      <w:b/>
      <w:bCs/>
      <w:sz w:val="32"/>
      <w:szCs w:val="32"/>
    </w:rPr>
  </w:style>
  <w:style w:type="character" w:customStyle="1" w:styleId="3Char">
    <w:name w:val="标题 3 Char"/>
    <w:basedOn w:val="a0"/>
    <w:link w:val="3"/>
    <w:uiPriority w:val="99"/>
    <w:rsid w:val="0065652A"/>
    <w:rPr>
      <w:rFonts w:ascii="Times New Roman" w:eastAsia="宋体" w:hAnsi="Times New Roman" w:cs="Times New Roman"/>
      <w:b/>
      <w:bCs/>
      <w:sz w:val="28"/>
      <w:szCs w:val="32"/>
    </w:rPr>
  </w:style>
  <w:style w:type="character" w:styleId="a5">
    <w:name w:val="Strong"/>
    <w:uiPriority w:val="22"/>
    <w:qFormat/>
    <w:rsid w:val="0065652A"/>
    <w:rPr>
      <w:b/>
      <w:bCs/>
    </w:rPr>
  </w:style>
  <w:style w:type="character" w:customStyle="1" w:styleId="Char1">
    <w:name w:val="正文文本 Char"/>
    <w:link w:val="a6"/>
    <w:uiPriority w:val="99"/>
    <w:rsid w:val="0065652A"/>
    <w:rPr>
      <w:sz w:val="24"/>
    </w:rPr>
  </w:style>
  <w:style w:type="paragraph" w:styleId="a6">
    <w:name w:val="Body Text"/>
    <w:basedOn w:val="a"/>
    <w:link w:val="Char1"/>
    <w:uiPriority w:val="99"/>
    <w:unhideWhenUsed/>
    <w:rsid w:val="0065652A"/>
    <w:pPr>
      <w:spacing w:after="120"/>
    </w:pPr>
    <w:rPr>
      <w:rFonts w:asciiTheme="minorHAnsi" w:eastAsiaTheme="minorEastAsia" w:hAnsiTheme="minorHAnsi" w:cstheme="minorBidi"/>
    </w:rPr>
  </w:style>
  <w:style w:type="character" w:customStyle="1" w:styleId="Char10">
    <w:name w:val="正文文本 Char1"/>
    <w:basedOn w:val="a0"/>
    <w:link w:val="a6"/>
    <w:uiPriority w:val="99"/>
    <w:semiHidden/>
    <w:rsid w:val="0065652A"/>
    <w:rPr>
      <w:rFonts w:ascii="Times New Roman" w:eastAsia="宋体" w:hAnsi="Times New Roman" w:cs="Times New Roman"/>
      <w:sz w:val="24"/>
    </w:rPr>
  </w:style>
  <w:style w:type="paragraph" w:styleId="a7">
    <w:name w:val="List Paragraph"/>
    <w:basedOn w:val="a"/>
    <w:uiPriority w:val="34"/>
    <w:qFormat/>
    <w:rsid w:val="0065652A"/>
    <w:pPr>
      <w:ind w:firstLine="420"/>
    </w:pPr>
  </w:style>
  <w:style w:type="paragraph" w:styleId="a8">
    <w:name w:val="Balloon Text"/>
    <w:basedOn w:val="a"/>
    <w:link w:val="Char2"/>
    <w:uiPriority w:val="99"/>
    <w:semiHidden/>
    <w:unhideWhenUsed/>
    <w:rsid w:val="0065652A"/>
    <w:pPr>
      <w:spacing w:line="240" w:lineRule="auto"/>
    </w:pPr>
    <w:rPr>
      <w:sz w:val="18"/>
      <w:szCs w:val="18"/>
    </w:rPr>
  </w:style>
  <w:style w:type="character" w:customStyle="1" w:styleId="Char2">
    <w:name w:val="批注框文本 Char"/>
    <w:basedOn w:val="a0"/>
    <w:link w:val="a8"/>
    <w:uiPriority w:val="99"/>
    <w:semiHidden/>
    <w:rsid w:val="006565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315</Words>
  <Characters>1801</Characters>
  <Application>Microsoft Office Word</Application>
  <DocSecurity>0</DocSecurity>
  <Lines>15</Lines>
  <Paragraphs>4</Paragraphs>
  <ScaleCrop>false</ScaleCrop>
  <Company>Sky123.Org</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2021-07-14T07:50:00Z</dcterms:created>
  <dcterms:modified xsi:type="dcterms:W3CDTF">2021-07-14T08:11:00Z</dcterms:modified>
</cp:coreProperties>
</file>