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b/>
          <w:color w:val="000000"/>
          <w:sz w:val="30"/>
          <w:szCs w:val="30"/>
          <w:lang w:eastAsia="zh-CN"/>
        </w:rPr>
      </w:pPr>
      <w:r>
        <w:rPr>
          <w:rFonts w:hint="eastAsia" w:ascii="宋体" w:hAnsi="宋体"/>
          <w:b/>
          <w:color w:val="000000"/>
          <w:sz w:val="30"/>
          <w:szCs w:val="30"/>
        </w:rPr>
        <w:t>金华市中心医院屋面爬梯、</w:t>
      </w:r>
      <w:r>
        <w:rPr>
          <w:rFonts w:hint="eastAsia" w:ascii="宋体" w:hAnsi="宋体"/>
          <w:b/>
          <w:color w:val="000000"/>
          <w:sz w:val="30"/>
          <w:szCs w:val="30"/>
          <w:lang w:eastAsia="zh-CN"/>
        </w:rPr>
        <w:t>护笼，机房</w:t>
      </w:r>
      <w:r>
        <w:rPr>
          <w:rFonts w:hint="eastAsia" w:ascii="宋体" w:hAnsi="宋体"/>
          <w:b/>
          <w:color w:val="000000"/>
          <w:sz w:val="30"/>
          <w:szCs w:val="30"/>
        </w:rPr>
        <w:t>挡鼠板等改造</w:t>
      </w:r>
      <w:r>
        <w:rPr>
          <w:rFonts w:hint="eastAsia" w:ascii="宋体" w:hAnsi="宋体"/>
          <w:b/>
          <w:color w:val="000000"/>
          <w:sz w:val="30"/>
          <w:szCs w:val="30"/>
          <w:lang w:eastAsia="zh-CN"/>
        </w:rPr>
        <w:t>项目</w:t>
      </w:r>
    </w:p>
    <w:p>
      <w:pPr>
        <w:ind w:firstLine="3313" w:firstLineChars="1100"/>
        <w:jc w:val="left"/>
        <w:rPr>
          <w:rFonts w:hint="eastAsia" w:ascii="宋体" w:hAnsi="宋体" w:eastAsia="宋体"/>
          <w:b/>
          <w:color w:val="000000"/>
          <w:sz w:val="30"/>
          <w:szCs w:val="30"/>
          <w:lang w:eastAsia="zh-CN"/>
        </w:rPr>
      </w:pPr>
      <w:r>
        <w:rPr>
          <w:rFonts w:hint="eastAsia" w:ascii="宋体" w:hAnsi="宋体"/>
          <w:b/>
          <w:color w:val="000000"/>
          <w:sz w:val="30"/>
          <w:szCs w:val="30"/>
          <w:lang w:eastAsia="zh-CN"/>
        </w:rPr>
        <w:t>招标需</w:t>
      </w:r>
      <w:bookmarkStart w:id="0" w:name="_GoBack"/>
      <w:bookmarkEnd w:id="0"/>
      <w:r>
        <w:rPr>
          <w:rFonts w:hint="eastAsia" w:ascii="宋体" w:hAnsi="宋体"/>
          <w:b/>
          <w:color w:val="000000"/>
          <w:sz w:val="30"/>
          <w:szCs w:val="30"/>
          <w:lang w:eastAsia="zh-CN"/>
        </w:rPr>
        <w:t>求</w:t>
      </w:r>
    </w:p>
    <w:tbl>
      <w:tblPr>
        <w:tblStyle w:val="6"/>
        <w:tblpPr w:leftFromText="180" w:rightFromText="180" w:vertAnchor="page" w:horzAnchor="margin" w:tblpY="3616"/>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795"/>
        <w:gridCol w:w="2295"/>
        <w:gridCol w:w="326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widowControl/>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名称</w:t>
            </w:r>
          </w:p>
        </w:tc>
        <w:tc>
          <w:tcPr>
            <w:tcW w:w="795" w:type="dxa"/>
            <w:vAlign w:val="center"/>
          </w:tcPr>
          <w:p>
            <w:pPr>
              <w:widowControl/>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数量</w:t>
            </w:r>
          </w:p>
        </w:tc>
        <w:tc>
          <w:tcPr>
            <w:tcW w:w="2295" w:type="dxa"/>
            <w:vAlign w:val="center"/>
          </w:tcPr>
          <w:p>
            <w:pPr>
              <w:widowControl/>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型号、规格</w:t>
            </w:r>
          </w:p>
        </w:tc>
        <w:tc>
          <w:tcPr>
            <w:tcW w:w="3265" w:type="dxa"/>
            <w:vAlign w:val="center"/>
          </w:tcPr>
          <w:p>
            <w:pPr>
              <w:widowControl/>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具体部位</w:t>
            </w:r>
          </w:p>
        </w:tc>
        <w:tc>
          <w:tcPr>
            <w:tcW w:w="1276" w:type="dxa"/>
            <w:vAlign w:val="center"/>
          </w:tcPr>
          <w:p>
            <w:pPr>
              <w:widowControl/>
              <w:spacing w:line="360" w:lineRule="auto"/>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使用部门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699" w:type="dxa"/>
            <w:vAlign w:val="center"/>
          </w:tcPr>
          <w:p>
            <w:pPr>
              <w:widowControl/>
              <w:jc w:val="left"/>
              <w:textAlignment w:val="center"/>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rPr>
              <w:t>步梯</w:t>
            </w:r>
            <w:r>
              <w:rPr>
                <w:rFonts w:hint="eastAsia" w:ascii="宋体" w:hAnsi="宋体" w:cs="宋体"/>
                <w:b w:val="0"/>
                <w:bCs w:val="0"/>
                <w:color w:val="auto"/>
                <w:kern w:val="0"/>
                <w:sz w:val="24"/>
                <w:szCs w:val="24"/>
                <w:lang w:val="en-US" w:eastAsia="zh-CN"/>
              </w:rPr>
              <w:t>1</w:t>
            </w:r>
          </w:p>
        </w:tc>
        <w:tc>
          <w:tcPr>
            <w:tcW w:w="795" w:type="dxa"/>
            <w:vAlign w:val="center"/>
          </w:tcPr>
          <w:p>
            <w:pPr>
              <w:widowControl/>
              <w:jc w:val="center"/>
              <w:textAlignment w:val="center"/>
              <w:rPr>
                <w:rFonts w:ascii="宋体" w:hAnsi="宋体" w:cs="宋体"/>
                <w:b w:val="0"/>
                <w:bCs w:val="0"/>
                <w:color w:val="auto"/>
                <w:kern w:val="0"/>
                <w:sz w:val="24"/>
                <w:szCs w:val="24"/>
              </w:rPr>
            </w:pPr>
            <w:r>
              <w:rPr>
                <w:rFonts w:hint="eastAsia" w:ascii="宋体" w:hAnsi="宋体" w:cs="宋体"/>
                <w:b w:val="0"/>
                <w:bCs w:val="0"/>
                <w:color w:val="auto"/>
                <w:kern w:val="0"/>
                <w:sz w:val="24"/>
                <w:szCs w:val="24"/>
              </w:rPr>
              <w:t>6个步梯</w:t>
            </w:r>
          </w:p>
        </w:tc>
        <w:tc>
          <w:tcPr>
            <w:tcW w:w="2295" w:type="dxa"/>
            <w:vAlign w:val="center"/>
          </w:tcPr>
          <w:p>
            <w:pPr>
              <w:widowControl/>
              <w:jc w:val="left"/>
              <w:textAlignment w:val="center"/>
              <w:rPr>
                <w:rFonts w:ascii="宋体" w:hAnsi="宋体" w:cs="宋体"/>
                <w:b w:val="0"/>
                <w:bCs w:val="0"/>
                <w:color w:val="auto"/>
                <w:sz w:val="24"/>
                <w:szCs w:val="24"/>
              </w:rPr>
            </w:pPr>
            <w:r>
              <w:rPr>
                <w:rFonts w:hint="eastAsia" w:ascii="宋体" w:hAnsi="宋体" w:cs="宋体"/>
                <w:b w:val="0"/>
                <w:bCs w:val="0"/>
                <w:color w:val="auto"/>
                <w:sz w:val="24"/>
                <w:szCs w:val="24"/>
              </w:rPr>
              <w:t>一个步梯含四个踏步x290/步=1160元/个；步梯：整体框架采用75x45/1.5厚201不锈钢方管；踏步采用38x38/1.5厚201不锈钢方管</w:t>
            </w:r>
          </w:p>
        </w:tc>
        <w:tc>
          <w:tcPr>
            <w:tcW w:w="3265" w:type="dxa"/>
            <w:vAlign w:val="center"/>
          </w:tcPr>
          <w:p>
            <w:pPr>
              <w:widowControl/>
              <w:adjustRightInd w:val="0"/>
              <w:snapToGrid w:val="0"/>
              <w:jc w:val="center"/>
              <w:rPr>
                <w:rFonts w:ascii="宋体" w:hAnsi="宋体" w:cs="宋体"/>
                <w:b w:val="0"/>
                <w:bCs w:val="0"/>
                <w:kern w:val="0"/>
                <w:sz w:val="24"/>
              </w:rPr>
            </w:pPr>
            <w:r>
              <w:rPr>
                <w:rFonts w:hint="eastAsia" w:ascii="宋体" w:hAnsi="宋体" w:cs="宋体"/>
                <w:b w:val="0"/>
                <w:bCs w:val="0"/>
                <w:kern w:val="0"/>
                <w:sz w:val="24"/>
              </w:rPr>
              <w:t>3号楼楼顶南楼梯口往冷却塔方向；5号楼四楼屋面西边往净化机组处；5号楼空调机房内部；7号楼楼顶冷却塔西边管道旁边；8号楼楼顶冷却塔与电梯机房交接处；6号楼屋面风机边1个。</w:t>
            </w:r>
          </w:p>
        </w:tc>
        <w:tc>
          <w:tcPr>
            <w:tcW w:w="1276" w:type="dxa"/>
            <w:vMerge w:val="restart"/>
            <w:vAlign w:val="center"/>
          </w:tcPr>
          <w:p>
            <w:pPr>
              <w:widowControl/>
              <w:adjustRightInd w:val="0"/>
              <w:snapToGrid w:val="0"/>
              <w:jc w:val="center"/>
              <w:rPr>
                <w:rFonts w:hint="eastAsia" w:ascii="宋体" w:hAnsi="宋体" w:eastAsia="宋体" w:cs="宋体"/>
                <w:b/>
                <w:kern w:val="0"/>
                <w:sz w:val="24"/>
                <w:lang w:eastAsia="zh-CN"/>
              </w:rPr>
            </w:pPr>
            <w:r>
              <w:rPr>
                <w:rFonts w:hint="eastAsia" w:ascii="宋体" w:hAnsi="宋体" w:cs="宋体"/>
                <w:b/>
                <w:kern w:val="0"/>
                <w:sz w:val="24"/>
                <w:lang w:eastAsia="zh-CN"/>
              </w:rPr>
              <w:t>总务处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99" w:type="dxa"/>
            <w:vAlign w:val="center"/>
          </w:tcPr>
          <w:p>
            <w:pPr>
              <w:widowControl/>
              <w:jc w:val="left"/>
              <w:textAlignment w:val="center"/>
              <w:rPr>
                <w:rFonts w:ascii="宋体" w:hAnsi="宋体" w:cs="宋体"/>
                <w:b w:val="0"/>
                <w:bCs w:val="0"/>
                <w:color w:val="auto"/>
                <w:kern w:val="0"/>
                <w:sz w:val="24"/>
                <w:szCs w:val="24"/>
              </w:rPr>
            </w:pPr>
            <w:r>
              <w:rPr>
                <w:rFonts w:hint="eastAsia" w:ascii="宋体" w:hAnsi="宋体" w:cs="宋体"/>
                <w:b w:val="0"/>
                <w:bCs w:val="0"/>
                <w:color w:val="auto"/>
                <w:kern w:val="0"/>
                <w:sz w:val="24"/>
                <w:szCs w:val="24"/>
              </w:rPr>
              <w:t>爬梯</w:t>
            </w:r>
          </w:p>
        </w:tc>
        <w:tc>
          <w:tcPr>
            <w:tcW w:w="795" w:type="dxa"/>
            <w:vAlign w:val="center"/>
          </w:tcPr>
          <w:p>
            <w:pPr>
              <w:widowControl/>
              <w:jc w:val="center"/>
              <w:textAlignment w:val="center"/>
              <w:rPr>
                <w:rFonts w:ascii="宋体" w:hAnsi="宋体" w:cs="宋体"/>
                <w:b w:val="0"/>
                <w:bCs w:val="0"/>
                <w:color w:val="auto"/>
                <w:kern w:val="0"/>
                <w:sz w:val="24"/>
                <w:szCs w:val="24"/>
              </w:rPr>
            </w:pPr>
            <w:r>
              <w:rPr>
                <w:rFonts w:hint="eastAsia" w:ascii="宋体" w:hAnsi="宋体" w:cs="宋体"/>
                <w:b w:val="0"/>
                <w:bCs w:val="0"/>
                <w:color w:val="auto"/>
                <w:kern w:val="0"/>
                <w:sz w:val="24"/>
                <w:szCs w:val="24"/>
              </w:rPr>
              <w:t>约40米</w:t>
            </w:r>
          </w:p>
        </w:tc>
        <w:tc>
          <w:tcPr>
            <w:tcW w:w="2295" w:type="dxa"/>
            <w:vAlign w:val="center"/>
          </w:tcPr>
          <w:p>
            <w:pPr>
              <w:widowControl/>
              <w:jc w:val="left"/>
              <w:textAlignment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爬梯：整体采用50x50/1.5厚201方管</w:t>
            </w:r>
          </w:p>
        </w:tc>
        <w:tc>
          <w:tcPr>
            <w:tcW w:w="3265" w:type="dxa"/>
            <w:vAlign w:val="center"/>
          </w:tcPr>
          <w:p>
            <w:pPr>
              <w:widowControl/>
              <w:adjustRightInd w:val="0"/>
              <w:snapToGrid w:val="0"/>
              <w:jc w:val="center"/>
              <w:rPr>
                <w:rFonts w:ascii="宋体" w:hAnsi="宋体" w:cs="宋体"/>
                <w:b w:val="0"/>
                <w:bCs w:val="0"/>
                <w:kern w:val="0"/>
                <w:sz w:val="24"/>
              </w:rPr>
            </w:pPr>
            <w:r>
              <w:rPr>
                <w:rFonts w:hint="eastAsia" w:ascii="宋体" w:hAnsi="宋体" w:cs="宋体"/>
                <w:b w:val="0"/>
                <w:bCs w:val="0"/>
                <w:kern w:val="0"/>
                <w:sz w:val="24"/>
              </w:rPr>
              <w:t>4号楼楼顶西边墙上上水箱约6米高；7号楼8号楼屋面连接处约5米；4号楼地下室水泵房爬梯延长约2米；7号楼屋顶东边炮楼约5米；7号楼屋顶西边炮楼约8米；8号楼消防水箱约4米。</w:t>
            </w:r>
          </w:p>
        </w:tc>
        <w:tc>
          <w:tcPr>
            <w:tcW w:w="1276" w:type="dxa"/>
            <w:vMerge w:val="continue"/>
            <w:vAlign w:val="center"/>
          </w:tcPr>
          <w:p>
            <w:pPr>
              <w:widowControl/>
              <w:adjustRightInd w:val="0"/>
              <w:snapToGrid w:val="0"/>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99" w:type="dxa"/>
            <w:vAlign w:val="center"/>
          </w:tcPr>
          <w:p>
            <w:pPr>
              <w:widowControl/>
              <w:jc w:val="left"/>
              <w:textAlignment w:val="center"/>
              <w:rPr>
                <w:rFonts w:hint="eastAsia" w:ascii="宋体" w:hAnsi="宋体" w:cs="宋体"/>
                <w:b w:val="0"/>
                <w:bCs w:val="0"/>
                <w:color w:val="auto"/>
                <w:kern w:val="0"/>
                <w:sz w:val="24"/>
                <w:szCs w:val="24"/>
              </w:rPr>
            </w:pPr>
            <w:r>
              <w:rPr>
                <w:rFonts w:hint="eastAsia" w:ascii="宋体" w:hAnsi="宋体" w:cs="宋体"/>
                <w:b w:val="0"/>
                <w:bCs w:val="0"/>
                <w:color w:val="auto"/>
                <w:kern w:val="0"/>
                <w:sz w:val="24"/>
                <w:szCs w:val="24"/>
              </w:rPr>
              <w:t>护笼</w:t>
            </w:r>
          </w:p>
        </w:tc>
        <w:tc>
          <w:tcPr>
            <w:tcW w:w="795" w:type="dxa"/>
            <w:vAlign w:val="center"/>
          </w:tcPr>
          <w:p>
            <w:pPr>
              <w:widowControl/>
              <w:jc w:val="center"/>
              <w:textAlignment w:val="center"/>
              <w:rPr>
                <w:rFonts w:hint="default" w:ascii="宋体" w:hAnsi="宋体" w:cs="宋体"/>
                <w:b w:val="0"/>
                <w:bCs w:val="0"/>
                <w:color w:val="auto"/>
                <w:kern w:val="0"/>
                <w:sz w:val="24"/>
                <w:szCs w:val="24"/>
                <w:lang w:val="en-US" w:eastAsia="zh-CN"/>
              </w:rPr>
            </w:pPr>
            <w:r>
              <w:rPr>
                <w:rFonts w:hint="default" w:ascii="宋体" w:hAnsi="宋体" w:cs="宋体"/>
                <w:b w:val="0"/>
                <w:bCs w:val="0"/>
                <w:color w:val="auto"/>
                <w:kern w:val="0"/>
                <w:sz w:val="24"/>
                <w:szCs w:val="24"/>
                <w:lang w:val="en-US" w:eastAsia="zh-CN"/>
              </w:rPr>
              <w:t>约65米</w:t>
            </w:r>
          </w:p>
        </w:tc>
        <w:tc>
          <w:tcPr>
            <w:tcW w:w="2295" w:type="dxa"/>
            <w:vAlign w:val="center"/>
          </w:tcPr>
          <w:p>
            <w:pPr>
              <w:widowControl/>
              <w:jc w:val="left"/>
              <w:textAlignment w:val="center"/>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护笼：整体采用30x30/1.5厚201方管</w:t>
            </w:r>
          </w:p>
        </w:tc>
        <w:tc>
          <w:tcPr>
            <w:tcW w:w="3265" w:type="dxa"/>
            <w:vAlign w:val="center"/>
          </w:tcPr>
          <w:p>
            <w:pPr>
              <w:widowControl/>
              <w:adjustRightInd w:val="0"/>
              <w:snapToGrid w:val="0"/>
              <w:jc w:val="center"/>
              <w:rPr>
                <w:rFonts w:ascii="宋体" w:hAnsi="宋体" w:cs="宋体"/>
                <w:b w:val="0"/>
                <w:bCs w:val="0"/>
                <w:kern w:val="0"/>
                <w:sz w:val="24"/>
              </w:rPr>
            </w:pPr>
            <w:r>
              <w:rPr>
                <w:rFonts w:hint="eastAsia" w:ascii="宋体" w:hAnsi="宋体" w:cs="宋体"/>
                <w:b w:val="0"/>
                <w:bCs w:val="0"/>
                <w:kern w:val="0"/>
                <w:sz w:val="24"/>
              </w:rPr>
              <w:t>所有爬梯处均需制作护笼，另外原来屋面有约7个爬梯无护笼也许安装护笼。</w:t>
            </w:r>
          </w:p>
        </w:tc>
        <w:tc>
          <w:tcPr>
            <w:tcW w:w="1276" w:type="dxa"/>
            <w:vMerge w:val="continue"/>
            <w:vAlign w:val="center"/>
          </w:tcPr>
          <w:p>
            <w:pPr>
              <w:widowControl/>
              <w:adjustRightInd w:val="0"/>
              <w:snapToGrid w:val="0"/>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99" w:type="dxa"/>
            <w:vAlign w:val="center"/>
          </w:tcPr>
          <w:p>
            <w:pPr>
              <w:widowControl/>
              <w:jc w:val="left"/>
              <w:textAlignment w:val="center"/>
              <w:rPr>
                <w:rFonts w:hint="eastAsia"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rPr>
              <w:t>步梯</w:t>
            </w:r>
            <w:r>
              <w:rPr>
                <w:rFonts w:hint="eastAsia" w:ascii="宋体" w:hAnsi="宋体" w:cs="宋体"/>
                <w:b w:val="0"/>
                <w:bCs w:val="0"/>
                <w:color w:val="auto"/>
                <w:kern w:val="0"/>
                <w:sz w:val="24"/>
                <w:szCs w:val="24"/>
                <w:lang w:val="en-US" w:eastAsia="zh-CN"/>
              </w:rPr>
              <w:t>2</w:t>
            </w:r>
          </w:p>
        </w:tc>
        <w:tc>
          <w:tcPr>
            <w:tcW w:w="795" w:type="dxa"/>
            <w:vAlign w:val="center"/>
          </w:tcPr>
          <w:p>
            <w:pPr>
              <w:widowControl/>
              <w:jc w:val="center"/>
              <w:textAlignment w:val="center"/>
              <w:rPr>
                <w:rFonts w:ascii="宋体" w:hAnsi="宋体" w:cs="宋体"/>
                <w:b w:val="0"/>
                <w:bCs w:val="0"/>
                <w:color w:val="auto"/>
                <w:kern w:val="0"/>
                <w:sz w:val="24"/>
                <w:szCs w:val="24"/>
              </w:rPr>
            </w:pPr>
            <w:r>
              <w:rPr>
                <w:rFonts w:hint="eastAsia" w:ascii="宋体" w:hAnsi="宋体" w:cs="宋体"/>
                <w:b w:val="0"/>
                <w:bCs w:val="0"/>
                <w:color w:val="auto"/>
                <w:kern w:val="0"/>
                <w:sz w:val="24"/>
                <w:szCs w:val="24"/>
              </w:rPr>
              <w:t>2个步梯</w:t>
            </w:r>
          </w:p>
        </w:tc>
        <w:tc>
          <w:tcPr>
            <w:tcW w:w="2295" w:type="dxa"/>
            <w:vAlign w:val="center"/>
          </w:tcPr>
          <w:p>
            <w:pPr>
              <w:widowControl/>
              <w:jc w:val="left"/>
              <w:textAlignment w:val="center"/>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一个步梯含四个踏步x290/步=1160元/个；步梯：整体框架采用75x45/1.5厚201不锈钢方管；踏步采用38x38/1.5厚201不锈钢方管</w:t>
            </w:r>
          </w:p>
        </w:tc>
        <w:tc>
          <w:tcPr>
            <w:tcW w:w="3265" w:type="dxa"/>
            <w:vAlign w:val="center"/>
          </w:tcPr>
          <w:p>
            <w:pPr>
              <w:widowControl/>
              <w:adjustRightInd w:val="0"/>
              <w:snapToGrid w:val="0"/>
              <w:jc w:val="center"/>
              <w:rPr>
                <w:rFonts w:ascii="宋体" w:hAnsi="宋体" w:cs="宋体"/>
                <w:b w:val="0"/>
                <w:bCs w:val="0"/>
                <w:kern w:val="0"/>
                <w:sz w:val="24"/>
              </w:rPr>
            </w:pPr>
            <w:r>
              <w:rPr>
                <w:rFonts w:hint="eastAsia" w:ascii="宋体" w:hAnsi="宋体" w:cs="宋体"/>
                <w:b w:val="0"/>
                <w:bCs w:val="0"/>
                <w:kern w:val="0"/>
                <w:sz w:val="24"/>
              </w:rPr>
              <w:t>5号楼四楼空调机房处</w:t>
            </w:r>
            <w:r>
              <w:rPr>
                <w:rFonts w:hint="eastAsia" w:ascii="宋体" w:hAnsi="宋体" w:cs="宋体"/>
                <w:b w:val="0"/>
                <w:bCs w:val="0"/>
                <w:kern w:val="0"/>
                <w:sz w:val="24"/>
                <w:lang w:eastAsia="zh-CN"/>
              </w:rPr>
              <w:t>内外</w:t>
            </w:r>
            <w:r>
              <w:rPr>
                <w:rFonts w:hint="eastAsia" w:ascii="宋体" w:hAnsi="宋体" w:cs="宋体"/>
                <w:b w:val="0"/>
                <w:bCs w:val="0"/>
                <w:kern w:val="0"/>
                <w:sz w:val="24"/>
              </w:rPr>
              <w:t>屋面处。</w:t>
            </w:r>
          </w:p>
        </w:tc>
        <w:tc>
          <w:tcPr>
            <w:tcW w:w="1276" w:type="dxa"/>
            <w:vMerge w:val="continue"/>
            <w:vAlign w:val="center"/>
          </w:tcPr>
          <w:p>
            <w:pPr>
              <w:widowControl/>
              <w:adjustRightInd w:val="0"/>
              <w:snapToGrid w:val="0"/>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99" w:type="dxa"/>
            <w:vAlign w:val="center"/>
          </w:tcPr>
          <w:p>
            <w:pPr>
              <w:widowControl/>
              <w:jc w:val="left"/>
              <w:textAlignment w:val="center"/>
              <w:rPr>
                <w:rFonts w:ascii="宋体" w:hAnsi="宋体" w:cs="宋体"/>
                <w:b w:val="0"/>
                <w:bCs w:val="0"/>
                <w:color w:val="auto"/>
                <w:kern w:val="0"/>
                <w:sz w:val="24"/>
                <w:szCs w:val="24"/>
              </w:rPr>
            </w:pPr>
            <w:r>
              <w:rPr>
                <w:rFonts w:hint="eastAsia" w:ascii="宋体" w:hAnsi="宋体" w:cs="宋体"/>
                <w:b w:val="0"/>
                <w:bCs w:val="0"/>
                <w:color w:val="auto"/>
                <w:kern w:val="0"/>
                <w:sz w:val="24"/>
                <w:szCs w:val="24"/>
              </w:rPr>
              <w:t>挡鼠板</w:t>
            </w:r>
          </w:p>
        </w:tc>
        <w:tc>
          <w:tcPr>
            <w:tcW w:w="795" w:type="dxa"/>
            <w:vAlign w:val="center"/>
          </w:tcPr>
          <w:p>
            <w:pPr>
              <w:widowControl/>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16个</w:t>
            </w:r>
          </w:p>
        </w:tc>
        <w:tc>
          <w:tcPr>
            <w:tcW w:w="2295" w:type="dxa"/>
            <w:vAlign w:val="center"/>
          </w:tcPr>
          <w:p>
            <w:pPr>
              <w:widowControl/>
              <w:jc w:val="center"/>
              <w:textAlignment w:val="center"/>
              <w:rPr>
                <w:rFonts w:ascii="宋体" w:hAnsi="宋体" w:cs="宋体"/>
                <w:b w:val="0"/>
                <w:bCs w:val="0"/>
                <w:color w:val="auto"/>
                <w:sz w:val="24"/>
                <w:szCs w:val="24"/>
              </w:rPr>
            </w:pPr>
            <w:r>
              <w:rPr>
                <w:rFonts w:hint="eastAsia" w:ascii="宋体" w:hAnsi="宋体" w:cs="宋体"/>
                <w:b w:val="0"/>
                <w:bCs w:val="0"/>
                <w:color w:val="auto"/>
                <w:sz w:val="24"/>
                <w:szCs w:val="24"/>
              </w:rPr>
              <w:t>1.2厚304不锈钢板，固定用1.5厚u型不锈钢槽</w:t>
            </w:r>
          </w:p>
        </w:tc>
        <w:tc>
          <w:tcPr>
            <w:tcW w:w="3265" w:type="dxa"/>
            <w:vAlign w:val="center"/>
          </w:tcPr>
          <w:p>
            <w:pPr>
              <w:widowControl/>
              <w:adjustRightInd w:val="0"/>
              <w:snapToGrid w:val="0"/>
              <w:jc w:val="center"/>
              <w:rPr>
                <w:rFonts w:ascii="宋体" w:hAnsi="宋体" w:cs="宋体"/>
                <w:b w:val="0"/>
                <w:bCs w:val="0"/>
                <w:kern w:val="0"/>
                <w:sz w:val="24"/>
              </w:rPr>
            </w:pPr>
            <w:r>
              <w:rPr>
                <w:rFonts w:hint="eastAsia" w:ascii="宋体" w:hAnsi="宋体" w:cs="宋体"/>
                <w:b w:val="0"/>
                <w:bCs w:val="0"/>
                <w:kern w:val="0"/>
                <w:sz w:val="24"/>
              </w:rPr>
              <w:t>16处机房门洞口均需制作。</w:t>
            </w:r>
          </w:p>
        </w:tc>
        <w:tc>
          <w:tcPr>
            <w:tcW w:w="1276" w:type="dxa"/>
            <w:vMerge w:val="continue"/>
            <w:vAlign w:val="center"/>
          </w:tcPr>
          <w:p>
            <w:pPr>
              <w:widowControl/>
              <w:adjustRightInd w:val="0"/>
              <w:snapToGrid w:val="0"/>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699" w:type="dxa"/>
            <w:vAlign w:val="center"/>
          </w:tcPr>
          <w:p>
            <w:pPr>
              <w:widowControl/>
              <w:jc w:val="left"/>
              <w:textAlignment w:val="center"/>
              <w:rPr>
                <w:rFonts w:hint="eastAsia" w:ascii="宋体" w:hAnsi="宋体" w:eastAsia="宋体" w:cs="宋体"/>
                <w:b w:val="0"/>
                <w:bCs w:val="0"/>
                <w:color w:val="auto"/>
                <w:kern w:val="0"/>
                <w:sz w:val="24"/>
                <w:szCs w:val="24"/>
                <w:lang w:eastAsia="zh-CN"/>
              </w:rPr>
            </w:pPr>
            <w:r>
              <w:rPr>
                <w:rFonts w:hint="eastAsia" w:ascii="宋体" w:hAnsi="宋体" w:cs="宋体"/>
                <w:b w:val="0"/>
                <w:bCs w:val="0"/>
                <w:color w:val="auto"/>
                <w:kern w:val="0"/>
                <w:sz w:val="24"/>
                <w:szCs w:val="24"/>
                <w:lang w:eastAsia="zh-CN"/>
              </w:rPr>
              <w:t>铁门开门洞</w:t>
            </w:r>
          </w:p>
        </w:tc>
        <w:tc>
          <w:tcPr>
            <w:tcW w:w="795" w:type="dxa"/>
            <w:vAlign w:val="center"/>
          </w:tcPr>
          <w:p>
            <w:pPr>
              <w:widowControl/>
              <w:jc w:val="center"/>
              <w:textAlignment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1扇</w:t>
            </w:r>
          </w:p>
        </w:tc>
        <w:tc>
          <w:tcPr>
            <w:tcW w:w="2295" w:type="dxa"/>
            <w:vAlign w:val="center"/>
          </w:tcPr>
          <w:p>
            <w:pPr>
              <w:widowControl/>
              <w:jc w:val="center"/>
              <w:textAlignment w:val="center"/>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eastAsia="zh-CN"/>
              </w:rPr>
              <w:t>原大铁门上切割开洞口，对洞口边采用不小于</w:t>
            </w:r>
            <w:r>
              <w:rPr>
                <w:rFonts w:hint="eastAsia" w:ascii="宋体" w:hAnsi="宋体" w:cs="宋体"/>
                <w:b w:val="0"/>
                <w:bCs w:val="0"/>
                <w:color w:val="auto"/>
                <w:sz w:val="24"/>
                <w:szCs w:val="24"/>
                <w:lang w:val="en-US" w:eastAsia="zh-CN"/>
              </w:rPr>
              <w:t>30*30mm</w:t>
            </w:r>
            <w:r>
              <w:rPr>
                <w:rFonts w:hint="eastAsia" w:ascii="宋体" w:hAnsi="宋体" w:cs="宋体"/>
                <w:b w:val="0"/>
                <w:bCs w:val="0"/>
                <w:color w:val="auto"/>
                <w:sz w:val="24"/>
                <w:szCs w:val="24"/>
                <w:lang w:eastAsia="zh-CN"/>
              </w:rPr>
              <w:t>方管一周加固，内做</w:t>
            </w:r>
            <w:r>
              <w:rPr>
                <w:rFonts w:hint="eastAsia" w:ascii="宋体" w:hAnsi="宋体" w:cs="宋体"/>
                <w:b w:val="0"/>
                <w:bCs w:val="0"/>
                <w:color w:val="auto"/>
                <w:sz w:val="24"/>
                <w:szCs w:val="24"/>
                <w:lang w:val="en-US" w:eastAsia="zh-CN"/>
              </w:rPr>
              <w:t>600mm*1800mm小门、带锁、拉手、合页等一切主副材</w:t>
            </w:r>
          </w:p>
        </w:tc>
        <w:tc>
          <w:tcPr>
            <w:tcW w:w="3265" w:type="dxa"/>
            <w:vAlign w:val="center"/>
          </w:tcPr>
          <w:p>
            <w:pPr>
              <w:widowControl/>
              <w:adjustRightInd w:val="0"/>
              <w:snapToGrid w:val="0"/>
              <w:jc w:val="center"/>
              <w:rPr>
                <w:rFonts w:hint="eastAsia" w:ascii="宋体" w:hAnsi="宋体" w:eastAsia="宋体" w:cs="宋体"/>
                <w:b w:val="0"/>
                <w:bCs w:val="0"/>
                <w:kern w:val="0"/>
                <w:sz w:val="24"/>
                <w:lang w:eastAsia="zh-CN"/>
              </w:rPr>
            </w:pPr>
            <w:r>
              <w:rPr>
                <w:rFonts w:hint="eastAsia" w:ascii="宋体" w:hAnsi="宋体" w:cs="宋体"/>
                <w:b w:val="0"/>
                <w:bCs w:val="0"/>
                <w:kern w:val="0"/>
                <w:sz w:val="24"/>
                <w:lang w:eastAsia="zh-CN"/>
              </w:rPr>
              <w:t>锅炉房靠明月街进出大门</w:t>
            </w:r>
          </w:p>
        </w:tc>
        <w:tc>
          <w:tcPr>
            <w:tcW w:w="1276" w:type="dxa"/>
            <w:vAlign w:val="center"/>
          </w:tcPr>
          <w:p>
            <w:pPr>
              <w:widowControl/>
              <w:adjustRightInd w:val="0"/>
              <w:snapToGrid w:val="0"/>
              <w:jc w:val="center"/>
              <w:rPr>
                <w:rFonts w:ascii="宋体" w:hAnsi="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330" w:type="dxa"/>
            <w:gridSpan w:val="5"/>
            <w:vAlign w:val="center"/>
          </w:tcPr>
          <w:p>
            <w:pPr>
              <w:adjustRightInd w:val="0"/>
              <w:snapToGrid w:val="0"/>
              <w:spacing w:line="360" w:lineRule="auto"/>
              <w:rPr>
                <w:rFonts w:ascii="宋体" w:hAnsi="宋体" w:cs="宋体"/>
                <w:b/>
                <w:sz w:val="24"/>
              </w:rPr>
            </w:pPr>
            <w:r>
              <w:rPr>
                <w:rFonts w:hint="eastAsia" w:cs="宋体" w:asciiTheme="minorEastAsia" w:hAnsiTheme="minorEastAsia" w:eastAsiaTheme="minorEastAsia"/>
                <w:b/>
                <w:sz w:val="24"/>
              </w:rPr>
              <w:t>注：</w:t>
            </w:r>
            <w:r>
              <w:rPr>
                <w:rFonts w:hint="eastAsia" w:ascii="宋体" w:hAnsi="宋体" w:cs="宋体"/>
                <w:b/>
                <w:sz w:val="24"/>
              </w:rPr>
              <w:t>投标总报价系指招标文件所确定招标范围内全部工作内容的价格表现，包括但不仅限于中标后的货物价款、辅材、包装、材料费、人工费、运输、装卸、</w:t>
            </w:r>
            <w:r>
              <w:rPr>
                <w:rFonts w:hint="eastAsia" w:ascii="宋体" w:hAnsi="宋体" w:cs="宋体"/>
                <w:b/>
                <w:bCs/>
                <w:color w:val="000000"/>
                <w:kern w:val="0"/>
                <w:sz w:val="24"/>
              </w:rPr>
              <w:t>差旅、住宿、车费</w:t>
            </w:r>
            <w:r>
              <w:rPr>
                <w:rFonts w:hint="eastAsia" w:ascii="宋体" w:hAnsi="宋体" w:cs="宋体"/>
                <w:b/>
                <w:bCs/>
                <w:color w:val="000000"/>
                <w:kern w:val="0"/>
                <w:sz w:val="24"/>
                <w:lang w:eastAsia="zh-CN"/>
              </w:rPr>
              <w:t>、</w:t>
            </w:r>
            <w:r>
              <w:rPr>
                <w:rFonts w:hint="eastAsia" w:ascii="宋体" w:hAnsi="宋体" w:cs="宋体"/>
                <w:b/>
                <w:sz w:val="24"/>
              </w:rPr>
              <w:t>劳务、保险、管理、售后、培训、利润、材料采管、机械、勘察、临时设施税金、政策性文件规定及合同包含的所有风险及责任等各项应有费用。</w:t>
            </w:r>
          </w:p>
          <w:p>
            <w:pPr>
              <w:widowControl/>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sz w:val="24"/>
              </w:rPr>
              <w:t>预算费用为：人民币</w:t>
            </w:r>
            <w:r>
              <w:rPr>
                <w:rFonts w:hint="eastAsia" w:cs="宋体" w:asciiTheme="minorEastAsia" w:hAnsiTheme="minorEastAsia" w:eastAsiaTheme="minorEastAsia"/>
                <w:b/>
                <w:sz w:val="24"/>
                <w:lang w:eastAsia="zh-CN"/>
              </w:rPr>
              <w:t>肆万</w:t>
            </w:r>
            <w:r>
              <w:rPr>
                <w:rFonts w:hint="eastAsia" w:cs="宋体" w:asciiTheme="minorEastAsia" w:hAnsiTheme="minorEastAsia" w:eastAsiaTheme="minorEastAsia"/>
                <w:b/>
                <w:sz w:val="24"/>
              </w:rPr>
              <w:t>元。</w:t>
            </w:r>
          </w:p>
        </w:tc>
      </w:tr>
    </w:tbl>
    <w:p>
      <w:pPr>
        <w:tabs>
          <w:tab w:val="left" w:pos="443"/>
          <w:tab w:val="center" w:pos="6200"/>
        </w:tabs>
        <w:ind w:firstLine="3935" w:firstLineChars="1400"/>
        <w:rPr>
          <w:rFonts w:cs="宋体" w:asciiTheme="minorEastAsia" w:hAnsiTheme="minorEastAsia" w:eastAsiaTheme="minorEastAsia"/>
          <w:b/>
          <w:sz w:val="36"/>
          <w:szCs w:val="36"/>
        </w:rPr>
      </w:pPr>
      <w:r>
        <w:rPr>
          <w:rFonts w:hint="eastAsia" w:cs="宋体" w:asciiTheme="minorEastAsia" w:hAnsiTheme="minorEastAsia" w:eastAsiaTheme="minorEastAsia"/>
          <w:b/>
          <w:sz w:val="28"/>
          <w:szCs w:val="28"/>
        </w:rPr>
        <w:t>经办人：戴俊杰</w:t>
      </w:r>
      <w:r>
        <w:rPr>
          <w:rFonts w:hint="eastAsia" w:cs="宋体" w:asciiTheme="minorEastAsia" w:hAnsiTheme="minorEastAsia" w:eastAsiaTheme="minorEastAsia"/>
          <w:b/>
          <w:sz w:val="36"/>
          <w:szCs w:val="36"/>
        </w:rPr>
        <w:t xml:space="preserve">      </w:t>
      </w:r>
    </w:p>
    <w:p>
      <w:pPr>
        <w:tabs>
          <w:tab w:val="left" w:pos="443"/>
          <w:tab w:val="center" w:pos="6200"/>
        </w:tabs>
        <w:ind w:firstLine="843" w:firstLineChars="300"/>
        <w:jc w:val="center"/>
        <w:rPr>
          <w:rFonts w:cs="宋体" w:asciiTheme="minorEastAsia" w:hAnsiTheme="minorEastAsia" w:eastAsiaTheme="minorEastAsia"/>
          <w:b/>
          <w:sz w:val="24"/>
        </w:rPr>
      </w:pPr>
      <w:r>
        <w:rPr>
          <w:rFonts w:hint="eastAsia" w:cs="宋体" w:asciiTheme="minorEastAsia" w:hAnsiTheme="minorEastAsia" w:eastAsiaTheme="minorEastAsia"/>
          <w:b/>
          <w:sz w:val="28"/>
          <w:szCs w:val="28"/>
        </w:rPr>
        <w:t xml:space="preserve">        日  期：202</w:t>
      </w:r>
      <w:r>
        <w:rPr>
          <w:rFonts w:hint="eastAsia" w:cs="宋体" w:asciiTheme="minorEastAsia" w:hAnsiTheme="minorEastAsia" w:eastAsiaTheme="minorEastAsia"/>
          <w:b/>
          <w:sz w:val="28"/>
          <w:szCs w:val="28"/>
          <w:lang w:val="en-US" w:eastAsia="zh-CN"/>
        </w:rPr>
        <w:t>3</w:t>
      </w:r>
      <w:r>
        <w:rPr>
          <w:rFonts w:hint="eastAsia" w:cs="宋体" w:asciiTheme="minorEastAsia" w:hAnsiTheme="minorEastAsia" w:eastAsiaTheme="minorEastAsia"/>
          <w:b/>
          <w:sz w:val="28"/>
          <w:szCs w:val="28"/>
        </w:rPr>
        <w:t>年0</w:t>
      </w:r>
      <w:r>
        <w:rPr>
          <w:rFonts w:hint="eastAsia" w:cs="宋体" w:asciiTheme="minorEastAsia" w:hAnsiTheme="minorEastAsia" w:eastAsiaTheme="minorEastAsia"/>
          <w:b/>
          <w:sz w:val="28"/>
          <w:szCs w:val="28"/>
          <w:lang w:val="en-US" w:eastAsia="zh-CN"/>
        </w:rPr>
        <w:t>5</w:t>
      </w:r>
      <w:r>
        <w:rPr>
          <w:rFonts w:hint="eastAsia" w:cs="宋体" w:asciiTheme="minorEastAsia" w:hAnsiTheme="minorEastAsia" w:eastAsiaTheme="minorEastAsia"/>
          <w:b/>
          <w:sz w:val="28"/>
          <w:szCs w:val="28"/>
        </w:rPr>
        <w:t>月</w:t>
      </w:r>
      <w:r>
        <w:rPr>
          <w:rFonts w:hint="eastAsia" w:cs="宋体" w:asciiTheme="minorEastAsia" w:hAnsiTheme="minorEastAsia" w:eastAsiaTheme="minorEastAsia"/>
          <w:b/>
          <w:sz w:val="28"/>
          <w:szCs w:val="28"/>
          <w:lang w:val="en-US" w:eastAsia="zh-CN"/>
        </w:rPr>
        <w:t>08</w:t>
      </w:r>
      <w:r>
        <w:rPr>
          <w:rFonts w:hint="eastAsia" w:cs="宋体" w:asciiTheme="minorEastAsia" w:hAnsiTheme="minorEastAsia" w:eastAsiaTheme="minorEastAsia"/>
          <w:b/>
          <w:sz w:val="28"/>
          <w:szCs w:val="28"/>
        </w:rPr>
        <w:t>日</w:t>
      </w:r>
      <w:r>
        <w:rPr>
          <w:rFonts w:hint="eastAsia" w:cs="宋体" w:asciiTheme="minorEastAsia" w:hAnsiTheme="minorEastAsia" w:eastAsiaTheme="minorEastAsia"/>
          <w:b/>
          <w:sz w:val="32"/>
          <w:szCs w:val="32"/>
        </w:rPr>
        <w:t xml:space="preserve">  </w:t>
      </w:r>
      <w:r>
        <w:rPr>
          <w:rFonts w:hint="eastAsia" w:cs="宋体" w:asciiTheme="minorEastAsia" w:hAnsiTheme="minorEastAsia" w:eastAsiaTheme="minorEastAsia"/>
          <w:b/>
          <w:sz w:val="24"/>
        </w:rPr>
        <w:t xml:space="preserve">         </w:t>
      </w:r>
    </w:p>
    <w:p>
      <w:pPr>
        <w:jc w:val="center"/>
        <w:rPr>
          <w:rFonts w:cs="宋体" w:asciiTheme="minorEastAsia" w:hAnsiTheme="minorEastAsia" w:eastAsiaTheme="minorEastAsia"/>
          <w:b/>
          <w:sz w:val="24"/>
        </w:rPr>
      </w:pPr>
    </w:p>
    <w:p>
      <w:pPr>
        <w:jc w:val="center"/>
      </w:pPr>
      <w:r>
        <w:rPr>
          <w:rFonts w:hint="eastAsia" w:cs="宋体" w:asciiTheme="minorEastAsia" w:hAnsiTheme="minorEastAsia" w:eastAsiaTheme="minorEastAsia"/>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00C4"/>
    <w:rsid w:val="0005730E"/>
    <w:rsid w:val="003400C4"/>
    <w:rsid w:val="007A5BF5"/>
    <w:rsid w:val="008C3172"/>
    <w:rsid w:val="00912FDE"/>
    <w:rsid w:val="0098051E"/>
    <w:rsid w:val="00C17895"/>
    <w:rsid w:val="00F67721"/>
    <w:rsid w:val="01675816"/>
    <w:rsid w:val="02760C05"/>
    <w:rsid w:val="03641B27"/>
    <w:rsid w:val="03D73A84"/>
    <w:rsid w:val="046B0405"/>
    <w:rsid w:val="06DC41DF"/>
    <w:rsid w:val="08C628E5"/>
    <w:rsid w:val="09E05C02"/>
    <w:rsid w:val="0A6C1145"/>
    <w:rsid w:val="0BE262ED"/>
    <w:rsid w:val="0C663E4A"/>
    <w:rsid w:val="0C7D5D10"/>
    <w:rsid w:val="0C835092"/>
    <w:rsid w:val="0CA629AB"/>
    <w:rsid w:val="0E8E5A54"/>
    <w:rsid w:val="0F614EEF"/>
    <w:rsid w:val="0FA5718D"/>
    <w:rsid w:val="1106293F"/>
    <w:rsid w:val="11117841"/>
    <w:rsid w:val="11AA6E9A"/>
    <w:rsid w:val="11BA74A3"/>
    <w:rsid w:val="14F73B27"/>
    <w:rsid w:val="15B52200"/>
    <w:rsid w:val="169C2AD5"/>
    <w:rsid w:val="19F21E2C"/>
    <w:rsid w:val="1A204A53"/>
    <w:rsid w:val="1D121FC5"/>
    <w:rsid w:val="1E6C265A"/>
    <w:rsid w:val="1FD233B0"/>
    <w:rsid w:val="229C4F9E"/>
    <w:rsid w:val="24E536C0"/>
    <w:rsid w:val="25122FFF"/>
    <w:rsid w:val="259F1D6C"/>
    <w:rsid w:val="262B3D4A"/>
    <w:rsid w:val="26B47679"/>
    <w:rsid w:val="274F761B"/>
    <w:rsid w:val="2AC573DE"/>
    <w:rsid w:val="2DAD51FF"/>
    <w:rsid w:val="30491BB8"/>
    <w:rsid w:val="32484366"/>
    <w:rsid w:val="33840FF4"/>
    <w:rsid w:val="354B2D9E"/>
    <w:rsid w:val="361D5F0E"/>
    <w:rsid w:val="377202EB"/>
    <w:rsid w:val="3874419D"/>
    <w:rsid w:val="39F35568"/>
    <w:rsid w:val="3A7F0BDD"/>
    <w:rsid w:val="3CA6080A"/>
    <w:rsid w:val="3FA70E40"/>
    <w:rsid w:val="3FF24612"/>
    <w:rsid w:val="407C664A"/>
    <w:rsid w:val="40D364EE"/>
    <w:rsid w:val="41325FB4"/>
    <w:rsid w:val="41ED7B9C"/>
    <w:rsid w:val="436B59A1"/>
    <w:rsid w:val="454B2AC5"/>
    <w:rsid w:val="45B42507"/>
    <w:rsid w:val="470303B9"/>
    <w:rsid w:val="470E2B1D"/>
    <w:rsid w:val="470F6A18"/>
    <w:rsid w:val="47F77FEA"/>
    <w:rsid w:val="486A7E27"/>
    <w:rsid w:val="48DB6C1D"/>
    <w:rsid w:val="4CF70CF9"/>
    <w:rsid w:val="4D0B13C5"/>
    <w:rsid w:val="4E020C94"/>
    <w:rsid w:val="4E140455"/>
    <w:rsid w:val="4E3E406D"/>
    <w:rsid w:val="4F361E1A"/>
    <w:rsid w:val="505E49FD"/>
    <w:rsid w:val="507A4C85"/>
    <w:rsid w:val="51734E05"/>
    <w:rsid w:val="531D5C6E"/>
    <w:rsid w:val="53F72115"/>
    <w:rsid w:val="54A80061"/>
    <w:rsid w:val="56E55396"/>
    <w:rsid w:val="581568BC"/>
    <w:rsid w:val="59622F47"/>
    <w:rsid w:val="59CD36DF"/>
    <w:rsid w:val="5A882B5C"/>
    <w:rsid w:val="5AA33E1E"/>
    <w:rsid w:val="5B0F63E4"/>
    <w:rsid w:val="5B2C62FD"/>
    <w:rsid w:val="5BA6438B"/>
    <w:rsid w:val="5CEC20F4"/>
    <w:rsid w:val="5E655643"/>
    <w:rsid w:val="5E7F5E15"/>
    <w:rsid w:val="5F0C27DC"/>
    <w:rsid w:val="61DC44FB"/>
    <w:rsid w:val="62971DFF"/>
    <w:rsid w:val="62CA5756"/>
    <w:rsid w:val="64863305"/>
    <w:rsid w:val="65A21562"/>
    <w:rsid w:val="6610690E"/>
    <w:rsid w:val="688B7652"/>
    <w:rsid w:val="695401B4"/>
    <w:rsid w:val="69B22C76"/>
    <w:rsid w:val="6A102280"/>
    <w:rsid w:val="6A382C03"/>
    <w:rsid w:val="6A426F1B"/>
    <w:rsid w:val="6B857285"/>
    <w:rsid w:val="6BE679BD"/>
    <w:rsid w:val="6C720152"/>
    <w:rsid w:val="6FE03CBA"/>
    <w:rsid w:val="70C02E7A"/>
    <w:rsid w:val="71494C25"/>
    <w:rsid w:val="7155192D"/>
    <w:rsid w:val="722E06B4"/>
    <w:rsid w:val="72C031FF"/>
    <w:rsid w:val="72DC17DC"/>
    <w:rsid w:val="74F1054A"/>
    <w:rsid w:val="75D226CB"/>
    <w:rsid w:val="75EC1465"/>
    <w:rsid w:val="75F13D8F"/>
    <w:rsid w:val="762B7240"/>
    <w:rsid w:val="76786EC7"/>
    <w:rsid w:val="77984D08"/>
    <w:rsid w:val="77E430CB"/>
    <w:rsid w:val="781A38D8"/>
    <w:rsid w:val="79880684"/>
    <w:rsid w:val="7BD36744"/>
    <w:rsid w:val="7C33535D"/>
    <w:rsid w:val="7C4F04E7"/>
    <w:rsid w:val="7DA666AD"/>
    <w:rsid w:val="7F3E7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bCs/>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 w:type="character" w:customStyle="1" w:styleId="11">
    <w:name w:val="font01"/>
    <w:basedOn w:val="7"/>
    <w:qFormat/>
    <w:uiPriority w:val="0"/>
    <w:rPr>
      <w:rFonts w:hint="eastAsia" w:ascii="宋体" w:hAnsi="宋体" w:eastAsia="宋体" w:cs="宋体"/>
      <w:color w:val="000000"/>
      <w:sz w:val="22"/>
      <w:szCs w:val="22"/>
      <w:u w:val="none"/>
    </w:rPr>
  </w:style>
  <w:style w:type="character" w:customStyle="1" w:styleId="12">
    <w:name w:val="font21"/>
    <w:basedOn w:val="7"/>
    <w:qFormat/>
    <w:uiPriority w:val="0"/>
    <w:rPr>
      <w:rFonts w:ascii="宋体" w:hAnsi="宋体" w:eastAsia="宋体" w:cs="宋体"/>
      <w:color w:val="000000"/>
      <w:sz w:val="22"/>
      <w:szCs w:val="22"/>
      <w:u w:val="none"/>
    </w:rPr>
  </w:style>
  <w:style w:type="character" w:customStyle="1" w:styleId="13">
    <w:name w:val="font31"/>
    <w:basedOn w:val="7"/>
    <w:qFormat/>
    <w:uiPriority w:val="0"/>
    <w:rPr>
      <w:rFonts w:hint="eastAsia" w:ascii="宋体" w:hAnsi="宋体" w:eastAsia="宋体" w:cs="宋体"/>
      <w:color w:val="000000"/>
      <w:sz w:val="22"/>
      <w:szCs w:val="22"/>
      <w:u w:val="none"/>
    </w:rPr>
  </w:style>
  <w:style w:type="character" w:customStyle="1" w:styleId="14">
    <w:name w:val="font11"/>
    <w:basedOn w:val="7"/>
    <w:qFormat/>
    <w:uiPriority w:val="0"/>
    <w:rPr>
      <w:rFonts w:ascii="宋体" w:hAnsi="宋体" w:eastAsia="宋体" w:cs="宋体"/>
      <w:color w:val="000000"/>
      <w:sz w:val="22"/>
      <w:szCs w:val="22"/>
      <w:u w:val="none"/>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117</Words>
  <Characters>673</Characters>
  <Lines>5</Lines>
  <Paragraphs>1</Paragraphs>
  <TotalTime>1</TotalTime>
  <ScaleCrop>false</ScaleCrop>
  <LinksUpToDate>false</LinksUpToDate>
  <CharactersWithSpaces>789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2018-08-21T07:15:00Z</dcterms:created>
  <dc:creator>蒋左兵</dc:creator>
  <cp:lastModifiedBy>不喜欢春天</cp:lastModifiedBy>
  <cp:lastPrinted>2019-05-06T00:21:00Z</cp:lastPrinted>
  <dcterms:modified xsi:type="dcterms:W3CDTF">2023-05-09T13:02:24Z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