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360" w:lineRule="auto"/>
        <w:ind w:left="420" w:hanging="420"/>
        <w:jc w:val="center"/>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金华市中心医院</w:t>
      </w:r>
    </w:p>
    <w:p>
      <w:pPr>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8"/>
          <w:szCs w:val="28"/>
          <w:lang w:val="en-US" w:eastAsia="zh-CN"/>
        </w:rPr>
      </w:pPr>
      <w:bookmarkStart w:id="0" w:name="_GoBack"/>
      <w:r>
        <w:rPr>
          <w:rFonts w:hint="eastAsia" w:ascii="仿宋" w:hAnsi="仿宋" w:eastAsia="仿宋" w:cs="仿宋"/>
          <w:b/>
          <w:bCs/>
          <w:sz w:val="28"/>
          <w:szCs w:val="28"/>
          <w:lang w:val="en-US" w:eastAsia="zh-CN"/>
        </w:rPr>
        <w:t>Lis系统</w:t>
      </w:r>
      <w:r>
        <w:rPr>
          <w:rFonts w:hint="eastAsia" w:ascii="仿宋" w:hAnsi="仿宋" w:eastAsia="仿宋" w:cs="仿宋"/>
          <w:b/>
          <w:bCs/>
          <w:sz w:val="28"/>
          <w:szCs w:val="28"/>
        </w:rPr>
        <w:t>常规检验平台</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自动审核升级项目</w:t>
      </w:r>
      <w:bookmarkEnd w:id="0"/>
      <w:r>
        <w:rPr>
          <w:rFonts w:hint="eastAsia" w:ascii="仿宋" w:hAnsi="仿宋" w:eastAsia="仿宋" w:cs="仿宋"/>
          <w:b/>
          <w:bCs/>
          <w:sz w:val="28"/>
          <w:szCs w:val="28"/>
          <w:lang w:val="en-US" w:eastAsia="zh-CN"/>
        </w:rPr>
        <w:t>参数</w:t>
      </w:r>
    </w:p>
    <w:p>
      <w:pPr>
        <w:pStyle w:val="2"/>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ind w:left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采购内容如下：</w:t>
      </w:r>
    </w:p>
    <w:p>
      <w:pPr>
        <w:pStyle w:val="2"/>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ind w:left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1.常规检验平台</w:t>
      </w:r>
      <w:r>
        <w:rPr>
          <w:rFonts w:hint="eastAsia" w:ascii="仿宋" w:hAnsi="仿宋" w:eastAsia="仿宋" w:cs="仿宋"/>
          <w:sz w:val="24"/>
          <w:szCs w:val="24"/>
        </w:rPr>
        <w:t>系统架构</w:t>
      </w:r>
      <w:r>
        <w:rPr>
          <w:rFonts w:hint="eastAsia" w:ascii="仿宋" w:hAnsi="仿宋" w:eastAsia="仿宋" w:cs="仿宋"/>
          <w:sz w:val="24"/>
          <w:szCs w:val="24"/>
          <w:lang w:eastAsia="zh-CN"/>
        </w:rPr>
        <w:t>升级</w:t>
      </w:r>
    </w:p>
    <w:p>
      <w:pPr>
        <w:pStyle w:val="11"/>
        <w:pageBreakBefore w:val="0"/>
        <w:widowControl w:val="0"/>
        <w:numPr>
          <w:ilvl w:val="1"/>
          <w:numId w:val="1"/>
        </w:numPr>
        <w:kinsoku/>
        <w:wordWrap/>
        <w:overflowPunct/>
        <w:topLinePunct w:val="0"/>
        <w:autoSpaceDE/>
        <w:autoSpaceDN/>
        <w:bidi w:val="0"/>
        <w:adjustRightInd/>
        <w:snapToGrid/>
        <w:spacing w:line="360" w:lineRule="auto"/>
        <w:ind w:left="567" w:leftChars="0" w:hanging="567"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采用</w:t>
      </w:r>
      <w:r>
        <w:rPr>
          <w:rFonts w:hint="eastAsia" w:ascii="仿宋" w:hAnsi="仿宋" w:eastAsia="仿宋" w:cs="仿宋"/>
          <w:sz w:val="24"/>
          <w:szCs w:val="24"/>
        </w:rPr>
        <w:t>多层体系B/S架构。</w:t>
      </w:r>
    </w:p>
    <w:p>
      <w:pPr>
        <w:pStyle w:val="11"/>
        <w:pageBreakBefore w:val="0"/>
        <w:widowControl w:val="0"/>
        <w:numPr>
          <w:ilvl w:val="1"/>
          <w:numId w:val="1"/>
        </w:numPr>
        <w:kinsoku/>
        <w:wordWrap/>
        <w:overflowPunct/>
        <w:topLinePunct w:val="0"/>
        <w:autoSpaceDE/>
        <w:autoSpaceDN/>
        <w:bidi w:val="0"/>
        <w:adjustRightInd/>
        <w:snapToGrid/>
        <w:spacing w:line="360" w:lineRule="auto"/>
        <w:ind w:left="567" w:leftChars="0" w:hanging="567" w:firstLineChars="0"/>
        <w:textAlignment w:val="auto"/>
        <w:rPr>
          <w:rFonts w:hint="eastAsia" w:ascii="仿宋" w:hAnsi="仿宋" w:eastAsia="仿宋" w:cs="仿宋"/>
          <w:sz w:val="24"/>
          <w:szCs w:val="24"/>
        </w:rPr>
      </w:pPr>
      <w:r>
        <w:rPr>
          <w:rFonts w:hint="eastAsia" w:ascii="仿宋" w:hAnsi="仿宋" w:eastAsia="仿宋" w:cs="仿宋"/>
          <w:sz w:val="24"/>
          <w:szCs w:val="24"/>
        </w:rPr>
        <w:t>支持跨平台云化部署、支持虚拟化部署，支持高可用集群化部署，避免单点故障造成业务宕机。</w:t>
      </w:r>
    </w:p>
    <w:p>
      <w:pPr>
        <w:pStyle w:val="11"/>
        <w:pageBreakBefore w:val="0"/>
        <w:widowControl w:val="0"/>
        <w:numPr>
          <w:ilvl w:val="1"/>
          <w:numId w:val="1"/>
        </w:numPr>
        <w:kinsoku/>
        <w:wordWrap/>
        <w:overflowPunct/>
        <w:topLinePunct w:val="0"/>
        <w:autoSpaceDE/>
        <w:autoSpaceDN/>
        <w:bidi w:val="0"/>
        <w:adjustRightInd/>
        <w:snapToGrid/>
        <w:spacing w:line="360" w:lineRule="auto"/>
        <w:ind w:left="567" w:leftChars="0" w:hanging="567" w:firstLineChars="0"/>
        <w:textAlignment w:val="auto"/>
        <w:rPr>
          <w:rFonts w:hint="eastAsia" w:ascii="仿宋" w:hAnsi="仿宋" w:eastAsia="仿宋" w:cs="仿宋"/>
          <w:sz w:val="24"/>
          <w:szCs w:val="24"/>
        </w:rPr>
      </w:pPr>
      <w:r>
        <w:rPr>
          <w:rFonts w:hint="eastAsia" w:ascii="仿宋" w:hAnsi="仿宋" w:eastAsia="仿宋" w:cs="仿宋"/>
          <w:sz w:val="24"/>
          <w:szCs w:val="24"/>
        </w:rPr>
        <w:t>Nginx支持高并发，系统运行更稳定。</w:t>
      </w:r>
    </w:p>
    <w:p>
      <w:pPr>
        <w:pStyle w:val="11"/>
        <w:pageBreakBefore w:val="0"/>
        <w:widowControl w:val="0"/>
        <w:numPr>
          <w:ilvl w:val="1"/>
          <w:numId w:val="1"/>
        </w:numPr>
        <w:kinsoku/>
        <w:wordWrap/>
        <w:overflowPunct/>
        <w:topLinePunct w:val="0"/>
        <w:autoSpaceDE/>
        <w:autoSpaceDN/>
        <w:bidi w:val="0"/>
        <w:adjustRightInd/>
        <w:snapToGrid/>
        <w:spacing w:line="360" w:lineRule="auto"/>
        <w:ind w:left="567" w:leftChars="0" w:hanging="567" w:firstLineChars="0"/>
        <w:textAlignment w:val="auto"/>
        <w:rPr>
          <w:rFonts w:hint="eastAsia" w:ascii="仿宋" w:hAnsi="仿宋" w:eastAsia="仿宋" w:cs="仿宋"/>
          <w:sz w:val="24"/>
          <w:szCs w:val="24"/>
        </w:rPr>
      </w:pPr>
      <w:r>
        <w:rPr>
          <w:rFonts w:hint="eastAsia" w:ascii="仿宋" w:hAnsi="仿宋" w:eastAsia="仿宋" w:cs="仿宋"/>
          <w:sz w:val="24"/>
          <w:szCs w:val="24"/>
        </w:rPr>
        <w:t>数据库读写分离，支持Redis，系统性能更优。</w:t>
      </w:r>
    </w:p>
    <w:p>
      <w:pPr>
        <w:pStyle w:val="11"/>
        <w:pageBreakBefore w:val="0"/>
        <w:widowControl w:val="0"/>
        <w:numPr>
          <w:ilvl w:val="1"/>
          <w:numId w:val="1"/>
        </w:numPr>
        <w:kinsoku/>
        <w:wordWrap/>
        <w:overflowPunct/>
        <w:topLinePunct w:val="0"/>
        <w:autoSpaceDE/>
        <w:autoSpaceDN/>
        <w:bidi w:val="0"/>
        <w:adjustRightInd/>
        <w:snapToGrid/>
        <w:spacing w:line="360" w:lineRule="auto"/>
        <w:ind w:left="567" w:leftChars="0" w:hanging="567" w:firstLineChars="0"/>
        <w:textAlignment w:val="auto"/>
        <w:rPr>
          <w:rFonts w:hint="eastAsia" w:ascii="仿宋" w:hAnsi="仿宋" w:eastAsia="仿宋" w:cs="仿宋"/>
          <w:sz w:val="24"/>
          <w:szCs w:val="24"/>
        </w:rPr>
      </w:pPr>
      <w:r>
        <w:rPr>
          <w:rFonts w:hint="eastAsia" w:ascii="仿宋" w:hAnsi="仿宋" w:eastAsia="仿宋" w:cs="仿宋"/>
          <w:sz w:val="24"/>
          <w:szCs w:val="24"/>
        </w:rPr>
        <w:t>哈希值应用，数据准确性更高。</w:t>
      </w:r>
    </w:p>
    <w:p>
      <w:pPr>
        <w:pStyle w:val="11"/>
        <w:pageBreakBefore w:val="0"/>
        <w:widowControl w:val="0"/>
        <w:numPr>
          <w:ilvl w:val="1"/>
          <w:numId w:val="1"/>
        </w:numPr>
        <w:kinsoku/>
        <w:wordWrap/>
        <w:overflowPunct/>
        <w:topLinePunct w:val="0"/>
        <w:autoSpaceDE/>
        <w:autoSpaceDN/>
        <w:bidi w:val="0"/>
        <w:adjustRightInd/>
        <w:snapToGrid/>
        <w:spacing w:line="360" w:lineRule="auto"/>
        <w:ind w:left="567" w:leftChars="0" w:hanging="567" w:firstLineChars="0"/>
        <w:textAlignment w:val="auto"/>
        <w:rPr>
          <w:rFonts w:hint="eastAsia" w:ascii="仿宋" w:hAnsi="仿宋" w:eastAsia="仿宋" w:cs="仿宋"/>
          <w:sz w:val="24"/>
          <w:szCs w:val="24"/>
        </w:rPr>
      </w:pPr>
      <w:r>
        <w:rPr>
          <w:rFonts w:hint="eastAsia" w:ascii="仿宋" w:hAnsi="仿宋" w:eastAsia="仿宋" w:cs="仿宋"/>
          <w:sz w:val="24"/>
          <w:szCs w:val="24"/>
        </w:rPr>
        <w:t>全新微服务，解耦各个业务模块，隔离故障，提高服务容错性，方便单模块升级，系统更新、运维更便捷。</w:t>
      </w:r>
    </w:p>
    <w:p>
      <w:pPr>
        <w:pStyle w:val="11"/>
        <w:pageBreakBefore w:val="0"/>
        <w:widowControl w:val="0"/>
        <w:numPr>
          <w:ilvl w:val="1"/>
          <w:numId w:val="1"/>
        </w:numPr>
        <w:kinsoku/>
        <w:wordWrap/>
        <w:overflowPunct/>
        <w:topLinePunct w:val="0"/>
        <w:autoSpaceDE/>
        <w:autoSpaceDN/>
        <w:bidi w:val="0"/>
        <w:adjustRightInd/>
        <w:snapToGrid/>
        <w:spacing w:line="360" w:lineRule="auto"/>
        <w:ind w:left="567" w:leftChars="0" w:hanging="567" w:firstLineChars="0"/>
        <w:textAlignment w:val="auto"/>
        <w:rPr>
          <w:rFonts w:hint="eastAsia" w:ascii="仿宋" w:hAnsi="仿宋" w:eastAsia="仿宋" w:cs="仿宋"/>
          <w:sz w:val="24"/>
          <w:szCs w:val="24"/>
        </w:rPr>
      </w:pPr>
      <w:r>
        <w:rPr>
          <w:rFonts w:hint="eastAsia" w:ascii="仿宋" w:hAnsi="仿宋" w:eastAsia="仿宋" w:cs="仿宋"/>
          <w:sz w:val="24"/>
          <w:szCs w:val="24"/>
        </w:rPr>
        <w:t>全新权限体系，避免水平越权和垂直越权，全面符合信息安全等级保护3.0三级等保要求，安全性更高。</w:t>
      </w:r>
    </w:p>
    <w:p>
      <w:pPr>
        <w:pStyle w:val="2"/>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425" w:leftChars="0" w:hanging="425"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常规检验功能优化</w:t>
      </w:r>
    </w:p>
    <w:p>
      <w:pPr>
        <w:pStyle w:val="11"/>
        <w:pageBreakBefore w:val="0"/>
        <w:widowControl w:val="0"/>
        <w:numPr>
          <w:ilvl w:val="1"/>
          <w:numId w:val="1"/>
        </w:numPr>
        <w:kinsoku/>
        <w:wordWrap/>
        <w:overflowPunct/>
        <w:topLinePunct w:val="0"/>
        <w:autoSpaceDE/>
        <w:autoSpaceDN/>
        <w:bidi w:val="0"/>
        <w:adjustRightInd/>
        <w:snapToGrid/>
        <w:spacing w:line="360" w:lineRule="auto"/>
        <w:ind w:left="567" w:leftChars="0" w:hanging="567" w:firstLineChars="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检验流程管理优化</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优化不合格样本闭环管理流程。</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优化危急值闭环管理流程。</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优化样本复查管理流程及仪器自动复查。</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优化报告召回闭环管理流程。</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增加项目申请追加闭环管理。</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增加初步报告。</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分步报告。</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核酸混采。</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增加样本比对。</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样本存储管理。</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实验室转运样本管理。</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分析项目信息变更涉及相关样本信息调整闭环管理。</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诊疗项目对应分析项目变化涉及相关样本调整闭环管理。</w:t>
      </w:r>
    </w:p>
    <w:p>
      <w:pPr>
        <w:pStyle w:val="11"/>
        <w:pageBreakBefore w:val="0"/>
        <w:widowControl w:val="0"/>
        <w:numPr>
          <w:ilvl w:val="1"/>
          <w:numId w:val="1"/>
        </w:numPr>
        <w:kinsoku/>
        <w:wordWrap/>
        <w:overflowPunct/>
        <w:topLinePunct w:val="0"/>
        <w:autoSpaceDE/>
        <w:autoSpaceDN/>
        <w:bidi w:val="0"/>
        <w:adjustRightInd/>
        <w:snapToGrid/>
        <w:spacing w:line="360" w:lineRule="auto"/>
        <w:ind w:left="567" w:leftChars="0" w:hanging="567" w:firstLineChars="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样本特殊信息登记优化</w:t>
      </w:r>
    </w:p>
    <w:p>
      <w:pPr>
        <w:pStyle w:val="11"/>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优化样本提醒信息登记。</w:t>
      </w:r>
    </w:p>
    <w:p>
      <w:pPr>
        <w:pStyle w:val="11"/>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优化报告延时登记。</w:t>
      </w:r>
    </w:p>
    <w:p>
      <w:pPr>
        <w:pStyle w:val="11"/>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优化修正报告登记。</w:t>
      </w:r>
    </w:p>
    <w:p>
      <w:pPr>
        <w:pStyle w:val="11"/>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增加样本收藏管理。</w:t>
      </w:r>
    </w:p>
    <w:p>
      <w:pPr>
        <w:pStyle w:val="11"/>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增加样本关注。</w:t>
      </w:r>
    </w:p>
    <w:p>
      <w:pPr>
        <w:pStyle w:val="11"/>
        <w:pageBreakBefore w:val="0"/>
        <w:widowControl w:val="0"/>
        <w:numPr>
          <w:ilvl w:val="1"/>
          <w:numId w:val="1"/>
        </w:numPr>
        <w:kinsoku/>
        <w:wordWrap/>
        <w:overflowPunct/>
        <w:topLinePunct w:val="0"/>
        <w:autoSpaceDE/>
        <w:autoSpaceDN/>
        <w:bidi w:val="0"/>
        <w:adjustRightInd/>
        <w:snapToGrid/>
        <w:spacing w:line="360" w:lineRule="auto"/>
        <w:ind w:left="567" w:leftChars="0" w:hanging="567" w:firstLineChars="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检验信息浏览及监控优化</w:t>
      </w:r>
    </w:p>
    <w:p>
      <w:pPr>
        <w:pStyle w:val="11"/>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优化当前样本结果历史回顾及其它检验相关结果智能综合回顾体系。</w:t>
      </w:r>
    </w:p>
    <w:p>
      <w:pPr>
        <w:pStyle w:val="11"/>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糖耐量、胰岛素等图形方式展现。</w:t>
      </w:r>
    </w:p>
    <w:p>
      <w:pPr>
        <w:pStyle w:val="11"/>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单患者结果浏览。</w:t>
      </w:r>
    </w:p>
    <w:p>
      <w:pPr>
        <w:pStyle w:val="11"/>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样本360。</w:t>
      </w:r>
    </w:p>
    <w:p>
      <w:pPr>
        <w:pStyle w:val="11"/>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混采包、混采信息浏览。</w:t>
      </w:r>
    </w:p>
    <w:p>
      <w:pPr>
        <w:pStyle w:val="11"/>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当前样本重点关注信息栏（包括：费用、样本状况、危急值、报告超时、召回报告、分级分步报告、当前位置、提醒信息、同样本单元外项目情况），并快速链接相关操作。</w:t>
      </w:r>
    </w:p>
    <w:p>
      <w:pPr>
        <w:pStyle w:val="11"/>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当前检验单元重点关注信息栏（包括：危急值、质控、移动均值、超时报告、自动审核、工作量），并快速链接相关操作。</w:t>
      </w:r>
    </w:p>
    <w:p>
      <w:pPr>
        <w:pStyle w:val="11"/>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工作看板。</w:t>
      </w:r>
    </w:p>
    <w:p>
      <w:pPr>
        <w:pStyle w:val="11"/>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外部系统信息浏览调用，包括：电子病历、360view、闭环管理、临床信息浏览、知识库浏览、CDSS等。</w:t>
      </w:r>
    </w:p>
    <w:p>
      <w:pPr>
        <w:pStyle w:val="11"/>
        <w:pageBreakBefore w:val="0"/>
        <w:widowControl w:val="0"/>
        <w:numPr>
          <w:ilvl w:val="1"/>
          <w:numId w:val="1"/>
        </w:numPr>
        <w:kinsoku/>
        <w:wordWrap/>
        <w:overflowPunct/>
        <w:topLinePunct w:val="0"/>
        <w:autoSpaceDE/>
        <w:autoSpaceDN/>
        <w:bidi w:val="0"/>
        <w:adjustRightInd/>
        <w:snapToGrid/>
        <w:spacing w:line="360" w:lineRule="auto"/>
        <w:ind w:left="567" w:leftChars="0" w:hanging="567" w:firstLineChars="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数据处理优化</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集中样本接收。</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板式编号及结果录入。</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支持检验单字母编号。</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样本复制、修改编号等功能。</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样本合管及样本多条码绑定功能。</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输入结果有效性验证、输入结果自定义判断。</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计算项目因涉及项目或结果变动引起的重新计算。</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样本信息修改后样本列表同步更新。</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样本信息任何列修改后页面自动保存功能。</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仪器数据接收性能，</w:t>
      </w:r>
      <w:r>
        <w:rPr>
          <w:rFonts w:hint="eastAsia" w:ascii="仿宋" w:hAnsi="仿宋" w:eastAsia="仿宋" w:cs="仿宋"/>
          <w:sz w:val="24"/>
          <w:szCs w:val="24"/>
          <w:lang w:eastAsia="zh-CN"/>
        </w:rPr>
        <w:t>优化</w:t>
      </w:r>
      <w:r>
        <w:rPr>
          <w:rFonts w:hint="eastAsia" w:ascii="仿宋" w:hAnsi="仿宋" w:eastAsia="仿宋" w:cs="仿宋"/>
          <w:sz w:val="24"/>
          <w:szCs w:val="24"/>
        </w:rPr>
        <w:t>指定项目接收数据功能、跨天标本数据接收功能，</w:t>
      </w:r>
      <w:r>
        <w:rPr>
          <w:rFonts w:hint="eastAsia" w:ascii="仿宋" w:hAnsi="仿宋" w:eastAsia="仿宋" w:cs="仿宋"/>
          <w:sz w:val="24"/>
          <w:szCs w:val="24"/>
          <w:lang w:eastAsia="zh-CN"/>
        </w:rPr>
        <w:t>增加</w:t>
      </w:r>
      <w:r>
        <w:rPr>
          <w:rFonts w:hint="eastAsia" w:ascii="仿宋" w:hAnsi="仿宋" w:eastAsia="仿宋" w:cs="仿宋"/>
          <w:sz w:val="24"/>
          <w:szCs w:val="24"/>
        </w:rPr>
        <w:t>任务重发、提取样本功能。</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在线复查、在线稀释、在线质控等功能。</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图形数据处理和图片编辑。</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样本切换模式。</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样本快速定位模式。</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单元快速切换模式。</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操作人员快速切换模式。</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酶标系统。</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窗口检验。</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检验审核、报告审核、报告批准、报告发布、报告打印以及实习审核体系。</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横向结果集中浏览及快速审核。</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检验单自动勾选开关。</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样本锁定功能。</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智能实验室结果解读。</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检验解释报告。</w:t>
      </w:r>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检验智能审核和自动审核。</w:t>
      </w:r>
    </w:p>
    <w:p>
      <w:pPr>
        <w:pStyle w:val="11"/>
        <w:pageBreakBefore w:val="0"/>
        <w:widowControl w:val="0"/>
        <w:numPr>
          <w:ilvl w:val="1"/>
          <w:numId w:val="1"/>
        </w:numPr>
        <w:kinsoku/>
        <w:wordWrap/>
        <w:overflowPunct/>
        <w:topLinePunct w:val="0"/>
        <w:autoSpaceDE/>
        <w:autoSpaceDN/>
        <w:bidi w:val="0"/>
        <w:adjustRightInd/>
        <w:snapToGrid/>
        <w:spacing w:line="360" w:lineRule="auto"/>
        <w:ind w:left="567" w:leftChars="0" w:hanging="567" w:firstLineChars="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查询优化</w:t>
      </w:r>
    </w:p>
    <w:p>
      <w:pPr>
        <w:pStyle w:val="11"/>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样本查询。</w:t>
      </w:r>
    </w:p>
    <w:p>
      <w:pPr>
        <w:pStyle w:val="11"/>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报告查询。</w:t>
      </w:r>
    </w:p>
    <w:p>
      <w:pPr>
        <w:pStyle w:val="11"/>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项目查询。提供快速便捷查询模式满足日常项目查询，提供方案设计模式满足科研项目查询。科研项目查询满足项目结果范围与样本信息、临床信息相关联，输出形式支持多级表头，可以以数据列表形式和可视化图形形式进行输出。输出列表可以进行既见既所得形式进行编辑。为实验室和临床查找还筛选具有研究价值的样本提供了一个非常高兴的工具。</w:t>
      </w:r>
    </w:p>
    <w:p>
      <w:pPr>
        <w:pStyle w:val="11"/>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综合辅助查询，包括：样本核对、危急值查询、不合格样本查询、召回报告查询、修正报告查询、传染病查询及日志查询。</w:t>
      </w:r>
    </w:p>
    <w:p>
      <w:pPr>
        <w:pStyle w:val="11"/>
        <w:pageBreakBefore w:val="0"/>
        <w:widowControl w:val="0"/>
        <w:numPr>
          <w:ilvl w:val="1"/>
          <w:numId w:val="1"/>
        </w:numPr>
        <w:kinsoku/>
        <w:wordWrap/>
        <w:overflowPunct/>
        <w:topLinePunct w:val="0"/>
        <w:autoSpaceDE/>
        <w:autoSpaceDN/>
        <w:bidi w:val="0"/>
        <w:adjustRightInd/>
        <w:snapToGrid/>
        <w:spacing w:line="360" w:lineRule="auto"/>
        <w:ind w:left="567" w:leftChars="0" w:hanging="567" w:firstLineChars="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数据分析优化</w:t>
      </w:r>
    </w:p>
    <w:p>
      <w:pPr>
        <w:pStyle w:val="11"/>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项目分析功能。针对项目结果进行结果趋势分析、频率分布分析和按照项目维度对所有样本结果进行快速浏览，对在检验审核是进行回顾性分析和观察分析系统的质量状况起到较大的帮助。</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项目结果与样本信息关联分析；</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项目与患者性别、疾病等信息多维度关联和同步分析；</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多项目同步分析；</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统一项目不同仪器之间的同步分析；</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结果值范围剔除方法；</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可视化展现；</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异常值检验样本清单。</w:t>
      </w:r>
    </w:p>
    <w:p>
      <w:pPr>
        <w:pStyle w:val="11"/>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增加</w:t>
      </w:r>
      <w:r>
        <w:rPr>
          <w:rFonts w:hint="eastAsia" w:ascii="仿宋" w:hAnsi="仿宋" w:eastAsia="仿宋" w:cs="仿宋"/>
          <w:sz w:val="24"/>
          <w:szCs w:val="24"/>
        </w:rPr>
        <w:t>样本比对管理。</w:t>
      </w:r>
    </w:p>
    <w:p>
      <w:pPr>
        <w:pStyle w:val="11"/>
        <w:pageBreakBefore w:val="0"/>
        <w:widowControl w:val="0"/>
        <w:numPr>
          <w:ilvl w:val="1"/>
          <w:numId w:val="1"/>
        </w:numPr>
        <w:kinsoku/>
        <w:wordWrap/>
        <w:overflowPunct/>
        <w:topLinePunct w:val="0"/>
        <w:autoSpaceDE/>
        <w:autoSpaceDN/>
        <w:bidi w:val="0"/>
        <w:adjustRightInd/>
        <w:snapToGrid/>
        <w:spacing w:line="360" w:lineRule="auto"/>
        <w:ind w:left="567" w:leftChars="0" w:hanging="567" w:firstLineChars="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常规检验</w:t>
      </w:r>
      <w:r>
        <w:rPr>
          <w:rFonts w:hint="eastAsia" w:ascii="仿宋" w:hAnsi="仿宋" w:eastAsia="仿宋" w:cs="仿宋"/>
          <w:b w:val="0"/>
          <w:bCs w:val="0"/>
          <w:sz w:val="24"/>
          <w:szCs w:val="24"/>
        </w:rPr>
        <w:t>界面优化</w:t>
      </w:r>
    </w:p>
    <w:p>
      <w:pPr>
        <w:pStyle w:val="11"/>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页面整体布局更合理、美观。</w:t>
      </w:r>
    </w:p>
    <w:p>
      <w:pPr>
        <w:pStyle w:val="11"/>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免疫专业检验结果页面布局。</w:t>
      </w:r>
    </w:p>
    <w:p>
      <w:pPr>
        <w:pStyle w:val="11"/>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功能按钮三级分类管理及快捷按钮、快捷工具条、右键、快捷键定义。</w:t>
      </w:r>
    </w:p>
    <w:p>
      <w:pPr>
        <w:pStyle w:val="11"/>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检验结果TAB页。</w:t>
      </w:r>
    </w:p>
    <w:p>
      <w:pPr>
        <w:pStyle w:val="11"/>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界面支持双屏、带鱼屏显示。</w:t>
      </w:r>
    </w:p>
    <w:p>
      <w:pPr>
        <w:pStyle w:val="11"/>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优化</w:t>
      </w:r>
      <w:r>
        <w:rPr>
          <w:rFonts w:hint="eastAsia" w:ascii="仿宋" w:hAnsi="仿宋" w:eastAsia="仿宋" w:cs="仿宋"/>
          <w:sz w:val="24"/>
          <w:szCs w:val="24"/>
        </w:rPr>
        <w:t>检验结果联动待引用、待合并及相关结果集中展现。</w:t>
      </w:r>
    </w:p>
    <w:p>
      <w:pPr>
        <w:pStyle w:val="11"/>
        <w:pageBreakBefore w:val="0"/>
        <w:widowControl w:val="0"/>
        <w:numPr>
          <w:ilvl w:val="1"/>
          <w:numId w:val="1"/>
        </w:numPr>
        <w:kinsoku/>
        <w:wordWrap/>
        <w:overflowPunct/>
        <w:topLinePunct w:val="0"/>
        <w:autoSpaceDE/>
        <w:autoSpaceDN/>
        <w:bidi w:val="0"/>
        <w:adjustRightInd/>
        <w:snapToGrid/>
        <w:spacing w:line="360" w:lineRule="auto"/>
        <w:ind w:left="567" w:leftChars="0" w:hanging="567" w:firstLineChars="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常规检验升级</w:t>
      </w:r>
      <w:r>
        <w:rPr>
          <w:rFonts w:hint="eastAsia" w:ascii="仿宋" w:hAnsi="仿宋" w:eastAsia="仿宋" w:cs="仿宋"/>
          <w:b w:val="0"/>
          <w:bCs w:val="0"/>
          <w:sz w:val="24"/>
          <w:szCs w:val="24"/>
        </w:rPr>
        <w:t>无缝迁移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内嵌新旧系统数据双向同步工具，双系统平行工作，系统平移更高效、更稳定。</w:t>
      </w:r>
    </w:p>
    <w:p>
      <w:pPr>
        <w:pStyle w:val="2"/>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3.建立自动审核体系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智慧实验室自动审核平台依据CAP、ISO15189以及AUTO10等标准进行规范化设计和应用，通过信息技术工具，将实验室检验审核的最高水平进行固化，不因为人们的情绪、精力等而造成不良影响，有效缩短报告TAT时间，更好地为临床服务。包括智能审核推理机、智能审核规则库、自动审核系统以及自动审核体系管理等四大主体模块，并支持电子签名。主要包括：</w:t>
      </w:r>
    </w:p>
    <w:p>
      <w:pPr>
        <w:pStyle w:val="11"/>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丰富的规则类型。包括：自动审核规则、警示规则、错误规则、复查规则、分片/镜检规则、临床提示规则、科研初筛规则等通用型规则；以及传染病规则、慢病随访规则、麻醉巡视规则、危急值预警规则等专业型规则。</w:t>
      </w:r>
    </w:p>
    <w:p>
      <w:pPr>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丰富参与自动审核的数据项。包括：本样本结果信息、本样本信息、同批次检验结果、历史检验结果、仪器报警信息、中间体技术审核信息、涉及的分析单元质控信息等技术审核信息，以及不合格标本、危急值项目、标本运输超时、是否已出院、费用状态(未收费)、检验状态（如召回报告）、报告TAT超时、样本状态（复查）、、息缺省（标本信息缺失）、信息一致性、项目数量、有结果手工修改记录、检验人员、审核人员等检验审核信息。</w:t>
      </w:r>
    </w:p>
    <w:p>
      <w:pPr>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丰富参与自动审核的数据结构形式。包括：线性范围、联合判断、辅助条件、历史比较（偏差、正偏差、负偏差、偏离值、正偏离值、偏离值、果不一致）、IF THEN类型等。</w:t>
      </w:r>
    </w:p>
    <w:p>
      <w:pPr>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成体系。需涵盖从规则建立（线性范围分析工具、历史结果幅度分析工具）、规则验证（既往数据的初步验证、验证期验证、定期验证、专家共识验证）、规则分析（整体通过率分析、规则通过率分析、项目通过率分析）、规则调整、再验证、评估（报告）、启用申请、启用审批、自动审核启用、定期验证、故障停止全过程管理。</w:t>
      </w:r>
    </w:p>
    <w:p>
      <w:pPr>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提供专家规则审核库并提供自动审核体系建立应用技术服务。</w:t>
      </w: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C86657"/>
    <w:multiLevelType w:val="singleLevel"/>
    <w:tmpl w:val="9FC86657"/>
    <w:lvl w:ilvl="0" w:tentative="0">
      <w:start w:val="1"/>
      <w:numFmt w:val="decimal"/>
      <w:lvlText w:val="%1)"/>
      <w:lvlJc w:val="left"/>
      <w:pPr>
        <w:ind w:left="425" w:hanging="425"/>
      </w:pPr>
      <w:rPr>
        <w:rFonts w:hint="default"/>
      </w:rPr>
    </w:lvl>
  </w:abstractNum>
  <w:abstractNum w:abstractNumId="1">
    <w:nsid w:val="A4F7DD8C"/>
    <w:multiLevelType w:val="singleLevel"/>
    <w:tmpl w:val="A4F7DD8C"/>
    <w:lvl w:ilvl="0" w:tentative="0">
      <w:start w:val="1"/>
      <w:numFmt w:val="decimal"/>
      <w:lvlText w:val="%1)"/>
      <w:lvlJc w:val="left"/>
      <w:pPr>
        <w:ind w:left="425" w:hanging="425"/>
      </w:pPr>
      <w:rPr>
        <w:rFonts w:hint="default"/>
      </w:rPr>
    </w:lvl>
  </w:abstractNum>
  <w:abstractNum w:abstractNumId="2">
    <w:nsid w:val="C13619DA"/>
    <w:multiLevelType w:val="singleLevel"/>
    <w:tmpl w:val="C13619DA"/>
    <w:lvl w:ilvl="0" w:tentative="0">
      <w:start w:val="1"/>
      <w:numFmt w:val="decimal"/>
      <w:lvlText w:val="%1)"/>
      <w:lvlJc w:val="left"/>
      <w:pPr>
        <w:ind w:left="425" w:hanging="425"/>
      </w:pPr>
      <w:rPr>
        <w:rFonts w:hint="default"/>
      </w:rPr>
    </w:lvl>
  </w:abstractNum>
  <w:abstractNum w:abstractNumId="3">
    <w:nsid w:val="C885A74F"/>
    <w:multiLevelType w:val="singleLevel"/>
    <w:tmpl w:val="C885A74F"/>
    <w:lvl w:ilvl="0" w:tentative="0">
      <w:start w:val="1"/>
      <w:numFmt w:val="bullet"/>
      <w:lvlText w:val=""/>
      <w:lvlJc w:val="left"/>
      <w:pPr>
        <w:ind w:left="420" w:hanging="420"/>
      </w:pPr>
      <w:rPr>
        <w:rFonts w:hint="default" w:ascii="Wingdings" w:hAnsi="Wingdings"/>
      </w:rPr>
    </w:lvl>
  </w:abstractNum>
  <w:abstractNum w:abstractNumId="4">
    <w:nsid w:val="CCE4C43E"/>
    <w:multiLevelType w:val="singleLevel"/>
    <w:tmpl w:val="CCE4C43E"/>
    <w:lvl w:ilvl="0" w:tentative="0">
      <w:start w:val="1"/>
      <w:numFmt w:val="decimal"/>
      <w:lvlText w:val="%1)"/>
      <w:lvlJc w:val="left"/>
      <w:pPr>
        <w:ind w:left="425" w:hanging="425"/>
      </w:pPr>
      <w:rPr>
        <w:rFonts w:hint="default"/>
      </w:rPr>
    </w:lvl>
  </w:abstractNum>
  <w:abstractNum w:abstractNumId="5">
    <w:nsid w:val="DEB7B319"/>
    <w:multiLevelType w:val="singleLevel"/>
    <w:tmpl w:val="DEB7B319"/>
    <w:lvl w:ilvl="0" w:tentative="0">
      <w:start w:val="1"/>
      <w:numFmt w:val="decimal"/>
      <w:lvlText w:val="%1)"/>
      <w:lvlJc w:val="left"/>
      <w:pPr>
        <w:ind w:left="425" w:hanging="425"/>
      </w:pPr>
      <w:rPr>
        <w:rFonts w:hint="default"/>
      </w:rPr>
    </w:lvl>
  </w:abstractNum>
  <w:abstractNum w:abstractNumId="6">
    <w:nsid w:val="E2B7CAC5"/>
    <w:multiLevelType w:val="singleLevel"/>
    <w:tmpl w:val="E2B7CAC5"/>
    <w:lvl w:ilvl="0" w:tentative="0">
      <w:start w:val="1"/>
      <w:numFmt w:val="decimal"/>
      <w:lvlText w:val="%1)"/>
      <w:lvlJc w:val="left"/>
      <w:pPr>
        <w:ind w:left="425" w:hanging="425"/>
      </w:pPr>
      <w:rPr>
        <w:rFonts w:hint="default"/>
      </w:rPr>
    </w:lvl>
  </w:abstractNum>
  <w:abstractNum w:abstractNumId="7">
    <w:nsid w:val="E6DEA371"/>
    <w:multiLevelType w:val="singleLevel"/>
    <w:tmpl w:val="E6DEA371"/>
    <w:lvl w:ilvl="0" w:tentative="0">
      <w:start w:val="1"/>
      <w:numFmt w:val="decimal"/>
      <w:lvlText w:val="%1)"/>
      <w:lvlJc w:val="left"/>
      <w:pPr>
        <w:ind w:left="425" w:hanging="425"/>
      </w:pPr>
      <w:rPr>
        <w:rFonts w:hint="default"/>
      </w:rPr>
    </w:lvl>
  </w:abstractNum>
  <w:abstractNum w:abstractNumId="8">
    <w:nsid w:val="16B65632"/>
    <w:multiLevelType w:val="singleLevel"/>
    <w:tmpl w:val="16B65632"/>
    <w:lvl w:ilvl="0" w:tentative="0">
      <w:start w:val="1"/>
      <w:numFmt w:val="decimal"/>
      <w:lvlText w:val="%1)"/>
      <w:lvlJc w:val="left"/>
      <w:pPr>
        <w:ind w:left="425" w:hanging="425"/>
      </w:pPr>
      <w:rPr>
        <w:rFonts w:hint="default"/>
      </w:rPr>
    </w:lvl>
  </w:abstractNum>
  <w:abstractNum w:abstractNumId="9">
    <w:nsid w:val="1C5D60B4"/>
    <w:multiLevelType w:val="multilevel"/>
    <w:tmpl w:val="1C5D60B4"/>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9"/>
  </w:num>
  <w:num w:numId="2">
    <w:abstractNumId w:val="4"/>
  </w:num>
  <w:num w:numId="3">
    <w:abstractNumId w:val="7"/>
  </w:num>
  <w:num w:numId="4">
    <w:abstractNumId w:val="2"/>
  </w:num>
  <w:num w:numId="5">
    <w:abstractNumId w:val="5"/>
  </w:num>
  <w:num w:numId="6">
    <w:abstractNumId w:val="1"/>
  </w:num>
  <w:num w:numId="7">
    <w:abstractNumId w:val="0"/>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1ZmFiOTAxNzQ4MTFjYWZhNjZkMmNmNjQ4NTRlY2QifQ=="/>
  </w:docVars>
  <w:rsids>
    <w:rsidRoot w:val="00DA7165"/>
    <w:rsid w:val="000050B8"/>
    <w:rsid w:val="00013B7F"/>
    <w:rsid w:val="001C1D6D"/>
    <w:rsid w:val="00434621"/>
    <w:rsid w:val="00464AB2"/>
    <w:rsid w:val="004B59FB"/>
    <w:rsid w:val="00524188"/>
    <w:rsid w:val="00547304"/>
    <w:rsid w:val="00577FFE"/>
    <w:rsid w:val="00662990"/>
    <w:rsid w:val="006F0C63"/>
    <w:rsid w:val="00765616"/>
    <w:rsid w:val="00795094"/>
    <w:rsid w:val="00830C07"/>
    <w:rsid w:val="00840520"/>
    <w:rsid w:val="008459DC"/>
    <w:rsid w:val="00883DF5"/>
    <w:rsid w:val="00A4164B"/>
    <w:rsid w:val="00AC6224"/>
    <w:rsid w:val="00B10C5C"/>
    <w:rsid w:val="00B5397E"/>
    <w:rsid w:val="00C44E1F"/>
    <w:rsid w:val="00C85AA9"/>
    <w:rsid w:val="00CC146B"/>
    <w:rsid w:val="00D37474"/>
    <w:rsid w:val="00D82BFB"/>
    <w:rsid w:val="00DA7165"/>
    <w:rsid w:val="00DB1227"/>
    <w:rsid w:val="00E11CB9"/>
    <w:rsid w:val="00E47DC7"/>
    <w:rsid w:val="00EA01AA"/>
    <w:rsid w:val="00F1037A"/>
    <w:rsid w:val="00F22999"/>
    <w:rsid w:val="00FE1D73"/>
    <w:rsid w:val="169A2979"/>
    <w:rsid w:val="33F31048"/>
    <w:rsid w:val="3B995C03"/>
    <w:rsid w:val="554468FC"/>
    <w:rsid w:val="63C57B8D"/>
    <w:rsid w:val="65EB72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华文仿宋" w:asciiTheme="minorHAnsi" w:hAnsiTheme="minorHAnsi" w:cstheme="minorBidi"/>
      <w:kern w:val="2"/>
      <w:sz w:val="28"/>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rFonts w:eastAsia="微软雅黑"/>
      <w:b/>
      <w:bCs/>
      <w:kern w:val="44"/>
      <w:sz w:val="30"/>
      <w:szCs w:val="44"/>
    </w:rPr>
  </w:style>
  <w:style w:type="paragraph" w:styleId="3">
    <w:name w:val="heading 2"/>
    <w:basedOn w:val="1"/>
    <w:next w:val="1"/>
    <w:link w:val="14"/>
    <w:unhideWhenUsed/>
    <w:qFormat/>
    <w:uiPriority w:val="9"/>
    <w:pPr>
      <w:keepNext/>
      <w:keepLines/>
      <w:spacing w:before="260" w:after="260" w:line="416" w:lineRule="auto"/>
      <w:outlineLvl w:val="1"/>
    </w:pPr>
    <w:rPr>
      <w:rFonts w:eastAsia="微软雅黑" w:asciiTheme="majorHAnsi" w:hAnsiTheme="majorHAnsi" w:cstheme="majorBidi"/>
      <w:b/>
      <w:bCs/>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8"/>
    <w:link w:val="4"/>
    <w:semiHidden/>
    <w:qFormat/>
    <w:uiPriority w:val="99"/>
    <w:rPr>
      <w:sz w:val="18"/>
      <w:szCs w:val="18"/>
    </w:rPr>
  </w:style>
  <w:style w:type="character" w:customStyle="1" w:styleId="13">
    <w:name w:val="标题 1 字符"/>
    <w:basedOn w:val="8"/>
    <w:link w:val="2"/>
    <w:qFormat/>
    <w:uiPriority w:val="9"/>
    <w:rPr>
      <w:rFonts w:eastAsia="微软雅黑"/>
      <w:b/>
      <w:bCs/>
      <w:kern w:val="44"/>
      <w:sz w:val="30"/>
      <w:szCs w:val="44"/>
    </w:rPr>
  </w:style>
  <w:style w:type="character" w:customStyle="1" w:styleId="14">
    <w:name w:val="标题 2 字符"/>
    <w:basedOn w:val="8"/>
    <w:link w:val="3"/>
    <w:qFormat/>
    <w:uiPriority w:val="9"/>
    <w:rPr>
      <w:rFonts w:eastAsia="微软雅黑" w:asciiTheme="majorHAnsi" w:hAnsiTheme="majorHAnsi" w:cstheme="majorBidi"/>
      <w:b/>
      <w:bCs/>
      <w:sz w:val="28"/>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2543</Words>
  <Characters>2592</Characters>
  <Lines>13</Lines>
  <Paragraphs>3</Paragraphs>
  <TotalTime>28</TotalTime>
  <ScaleCrop>false</ScaleCrop>
  <LinksUpToDate>false</LinksUpToDate>
  <CharactersWithSpaces>2593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2020-07-15T10:56:00Z</dcterms:created>
  <dc:creator>王 林豪</dc:creator>
  <cp:lastModifiedBy>Administrator</cp:lastModifiedBy>
  <dcterms:modified xsi:type="dcterms:W3CDTF">2023-05-17T09:10:02Z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302CB4FC3228C3D118115364DC203E00_43</vt:lpwstr>
  </property>
</Properties>
</file>