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20" w:line="360" w:lineRule="auto"/>
        <w:ind w:left="525" w:leftChars="250"/>
        <w:jc w:val="center"/>
        <w:rPr>
          <w:b/>
          <w:bCs/>
          <w:kern w:val="0"/>
          <w:sz w:val="30"/>
          <w:szCs w:val="30"/>
        </w:rPr>
      </w:pPr>
      <w:r>
        <w:rPr>
          <w:b/>
          <w:bCs/>
          <w:kern w:val="0"/>
          <w:sz w:val="30"/>
          <w:szCs w:val="30"/>
          <w:lang w:val="zh-CN"/>
        </w:rPr>
        <w:t>金华市中心医院网络安全服务采购项目</w:t>
      </w:r>
    </w:p>
    <w:p>
      <w:pPr>
        <w:spacing w:line="440" w:lineRule="exact"/>
        <w:ind w:firstLine="482" w:firstLineChars="200"/>
        <w:jc w:val="left"/>
        <w:rPr>
          <w:b/>
          <w:sz w:val="24"/>
          <w:szCs w:val="24"/>
        </w:rPr>
      </w:pPr>
      <w:r>
        <w:rPr>
          <w:b/>
          <w:sz w:val="24"/>
          <w:szCs w:val="24"/>
        </w:rPr>
        <w:t>一、项目概述</w:t>
      </w:r>
    </w:p>
    <w:p>
      <w:pPr>
        <w:adjustRightInd w:val="0"/>
        <w:snapToGrid w:val="0"/>
        <w:spacing w:line="440" w:lineRule="exact"/>
        <w:ind w:firstLine="480" w:firstLineChars="200"/>
        <w:rPr>
          <w:sz w:val="24"/>
          <w:szCs w:val="24"/>
        </w:rPr>
      </w:pPr>
      <w:r>
        <w:rPr>
          <w:sz w:val="24"/>
          <w:szCs w:val="24"/>
        </w:rPr>
        <w:t>金华市中心医院医疗集团（医学中心）于2021年以金华市中心医院为核心组建，目前拥有金华市中心医院、金华市妇幼保健院2家主要成员单位，金华市中心医院始建于1910年，是浙江中西部地区集医疗、科研、教学、预防、保健、康复为一体的三级甲等综合医院。金华市妇幼保健院始建于1983年，是集预防、保健、医疗、科研为一体的二级甲等妇幼保健院。两院区实行网络部署一体化、安全管理同质化模式。</w:t>
      </w:r>
    </w:p>
    <w:p>
      <w:pPr>
        <w:spacing w:line="500" w:lineRule="exact"/>
        <w:ind w:firstLine="480" w:firstLineChars="200"/>
        <w:rPr>
          <w:sz w:val="24"/>
          <w:szCs w:val="24"/>
        </w:rPr>
      </w:pPr>
      <w:r>
        <w:rPr>
          <w:sz w:val="24"/>
          <w:szCs w:val="24"/>
        </w:rPr>
        <w:t>为确保金华市中心医院医疗集团相关业务系统稳定可靠地运行，建设金华市中心医院医疗集团安全大数据平台，完成互联网医院平台等外网环境部署相关系统的监测及其防护、威胁情报、重点部署流量安全分析、数据可视化以及7*24小时的不间断的专业网络安全服务，保障医院业务的安全运行。</w:t>
      </w:r>
    </w:p>
    <w:p>
      <w:pPr>
        <w:spacing w:line="440" w:lineRule="exact"/>
        <w:ind w:firstLine="482" w:firstLineChars="200"/>
        <w:rPr>
          <w:b/>
          <w:sz w:val="24"/>
          <w:szCs w:val="24"/>
        </w:rPr>
      </w:pPr>
      <w:bookmarkStart w:id="0" w:name="_Toc6918583"/>
      <w:r>
        <w:rPr>
          <w:b/>
          <w:sz w:val="24"/>
          <w:szCs w:val="24"/>
        </w:rPr>
        <w:t>二、项目内容</w:t>
      </w:r>
      <w:bookmarkEnd w:id="0"/>
    </w:p>
    <w:tbl>
      <w:tblPr>
        <w:tblStyle w:val="42"/>
        <w:tblW w:w="5244" w:type="dxa"/>
        <w:jc w:val="center"/>
        <w:tblLayout w:type="fixed"/>
        <w:tblCellMar>
          <w:top w:w="0" w:type="dxa"/>
          <w:left w:w="0" w:type="dxa"/>
          <w:bottom w:w="0" w:type="dxa"/>
          <w:right w:w="0" w:type="dxa"/>
        </w:tblCellMar>
      </w:tblPr>
      <w:tblGrid>
        <w:gridCol w:w="733"/>
        <w:gridCol w:w="2810"/>
        <w:gridCol w:w="851"/>
        <w:gridCol w:w="850"/>
      </w:tblGrid>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FFC000"/>
            <w:noWrap/>
            <w:tcMar>
              <w:top w:w="15" w:type="dxa"/>
              <w:left w:w="15" w:type="dxa"/>
              <w:bottom w:w="0" w:type="dxa"/>
              <w:right w:w="15" w:type="dxa"/>
            </w:tcMar>
            <w:vAlign w:val="center"/>
          </w:tcPr>
          <w:p>
            <w:pPr>
              <w:spacing w:line="360" w:lineRule="auto"/>
              <w:jc w:val="center"/>
              <w:textAlignment w:val="bottom"/>
              <w:rPr>
                <w:color w:val="000000"/>
                <w:sz w:val="24"/>
                <w:szCs w:val="24"/>
              </w:rPr>
            </w:pPr>
            <w:r>
              <w:rPr>
                <w:color w:val="000000"/>
                <w:sz w:val="24"/>
                <w:szCs w:val="24"/>
                <w:lang w:bidi="ar"/>
              </w:rPr>
              <w:t>序号</w:t>
            </w:r>
          </w:p>
        </w:tc>
        <w:tc>
          <w:tcPr>
            <w:tcW w:w="2810" w:type="dxa"/>
            <w:tcBorders>
              <w:top w:val="single" w:color="000000" w:sz="4" w:space="0"/>
              <w:left w:val="single" w:color="000000" w:sz="4" w:space="0"/>
              <w:bottom w:val="single" w:color="000000" w:sz="4" w:space="0"/>
              <w:right w:val="single" w:color="000000" w:sz="4" w:space="0"/>
            </w:tcBorders>
            <w:shd w:val="clear" w:color="auto" w:fill="FFC000"/>
            <w:noWrap/>
            <w:tcMar>
              <w:top w:w="15" w:type="dxa"/>
              <w:left w:w="15" w:type="dxa"/>
              <w:bottom w:w="0" w:type="dxa"/>
              <w:right w:w="15" w:type="dxa"/>
            </w:tcMar>
            <w:vAlign w:val="center"/>
          </w:tcPr>
          <w:p>
            <w:pPr>
              <w:spacing w:line="360" w:lineRule="auto"/>
              <w:jc w:val="center"/>
              <w:textAlignment w:val="bottom"/>
              <w:rPr>
                <w:color w:val="000000"/>
                <w:sz w:val="24"/>
                <w:szCs w:val="24"/>
              </w:rPr>
            </w:pPr>
            <w:r>
              <w:rPr>
                <w:color w:val="000000"/>
                <w:sz w:val="24"/>
                <w:szCs w:val="24"/>
                <w:lang w:bidi="ar"/>
              </w:rPr>
              <w:t>产品名称</w:t>
            </w:r>
          </w:p>
        </w:tc>
        <w:tc>
          <w:tcPr>
            <w:tcW w:w="851" w:type="dxa"/>
            <w:tcBorders>
              <w:top w:val="single" w:color="000000" w:sz="4" w:space="0"/>
              <w:left w:val="single" w:color="000000" w:sz="4" w:space="0"/>
              <w:bottom w:val="single" w:color="000000" w:sz="4" w:space="0"/>
              <w:right w:val="single" w:color="000000" w:sz="4" w:space="0"/>
            </w:tcBorders>
            <w:shd w:val="clear" w:color="auto" w:fill="FFC000"/>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FFC000"/>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单位</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sz w:val="24"/>
                <w:szCs w:val="24"/>
              </w:rPr>
            </w:pPr>
            <w:r>
              <w:rPr>
                <w:color w:val="000000"/>
                <w:kern w:val="0"/>
                <w:sz w:val="24"/>
                <w:szCs w:val="24"/>
                <w:lang w:bidi="ar"/>
              </w:rPr>
              <w:t>安全分析管理平台服务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sz w:val="24"/>
                <w:szCs w:val="24"/>
              </w:rPr>
            </w:pPr>
            <w:r>
              <w:rPr>
                <w:color w:val="000000"/>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sz w:val="24"/>
                <w:szCs w:val="24"/>
                <w:lang w:bidi="ar"/>
              </w:rPr>
            </w:pPr>
            <w:r>
              <w:rPr>
                <w:sz w:val="24"/>
                <w:szCs w:val="24"/>
                <w:lang w:bidi="ar"/>
              </w:rPr>
              <w:t>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kern w:val="0"/>
                <w:sz w:val="24"/>
                <w:szCs w:val="24"/>
                <w:lang w:bidi="ar"/>
              </w:rPr>
            </w:pPr>
            <w:r>
              <w:rPr>
                <w:kern w:val="0"/>
                <w:sz w:val="24"/>
                <w:szCs w:val="24"/>
                <w:lang w:bidi="ar"/>
              </w:rPr>
              <w:t>集成安全管理系统服务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sz w:val="24"/>
                <w:szCs w:val="24"/>
                <w:lang w:bidi="ar"/>
              </w:rPr>
            </w:pPr>
            <w:r>
              <w:rPr>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kern w:val="0"/>
                <w:sz w:val="24"/>
                <w:szCs w:val="24"/>
                <w:lang w:bidi="ar"/>
              </w:rPr>
            </w:pPr>
            <w:r>
              <w:rPr>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lang w:bidi="ar"/>
              </w:rPr>
            </w:pPr>
            <w:r>
              <w:rPr>
                <w:color w:val="000000"/>
                <w:sz w:val="24"/>
                <w:szCs w:val="24"/>
                <w:lang w:bidi="ar"/>
              </w:rPr>
              <w:t>3</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sz w:val="24"/>
                <w:szCs w:val="24"/>
                <w:lang w:bidi="ar"/>
              </w:rPr>
            </w:pPr>
            <w:r>
              <w:rPr>
                <w:color w:val="000000"/>
                <w:kern w:val="0"/>
                <w:sz w:val="24"/>
                <w:szCs w:val="24"/>
                <w:lang w:bidi="ar"/>
              </w:rPr>
              <w:t>流量威胁监测服务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lang w:bidi="ar"/>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sz w:val="24"/>
                <w:szCs w:val="24"/>
                <w:lang w:bidi="ar"/>
              </w:rPr>
            </w:pPr>
            <w:r>
              <w:rPr>
                <w:color w:val="000000"/>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lang w:bidi="ar"/>
              </w:rPr>
            </w:pPr>
            <w:r>
              <w:rPr>
                <w:color w:val="000000"/>
                <w:sz w:val="24"/>
                <w:szCs w:val="24"/>
                <w:lang w:bidi="ar"/>
              </w:rPr>
              <w:t>4</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kern w:val="0"/>
                <w:sz w:val="24"/>
                <w:szCs w:val="24"/>
                <w:lang w:bidi="ar"/>
              </w:rPr>
            </w:pPr>
            <w:r>
              <w:rPr>
                <w:color w:val="000000"/>
                <w:kern w:val="0"/>
                <w:sz w:val="24"/>
                <w:szCs w:val="24"/>
                <w:lang w:bidi="ar"/>
              </w:rPr>
              <w:t>网页防篡改服务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lang w:bidi="ar"/>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kern w:val="0"/>
                <w:sz w:val="24"/>
                <w:szCs w:val="24"/>
                <w:lang w:bidi="ar"/>
              </w:rPr>
            </w:pPr>
            <w:r>
              <w:rPr>
                <w:color w:val="000000"/>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5</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sz w:val="24"/>
                <w:szCs w:val="24"/>
              </w:rPr>
            </w:pPr>
            <w:r>
              <w:rPr>
                <w:color w:val="000000"/>
                <w:kern w:val="0"/>
                <w:sz w:val="24"/>
                <w:szCs w:val="24"/>
                <w:lang w:bidi="ar"/>
              </w:rPr>
              <w:t>EDR主机安全服务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sz w:val="24"/>
                <w:szCs w:val="24"/>
              </w:rPr>
            </w:pPr>
            <w:r>
              <w:rPr>
                <w:color w:val="000000"/>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6</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sz w:val="24"/>
                <w:szCs w:val="24"/>
              </w:rPr>
            </w:pPr>
            <w:r>
              <w:rPr>
                <w:color w:val="000000"/>
                <w:kern w:val="0"/>
                <w:sz w:val="24"/>
                <w:szCs w:val="24"/>
                <w:lang w:bidi="ar"/>
              </w:rPr>
              <w:t>云网站防护服务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sz w:val="24"/>
                <w:szCs w:val="24"/>
              </w:rPr>
            </w:pPr>
            <w:r>
              <w:rPr>
                <w:color w:val="000000"/>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7</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sz w:val="24"/>
                <w:szCs w:val="24"/>
              </w:rPr>
            </w:pPr>
            <w:r>
              <w:rPr>
                <w:color w:val="000000"/>
                <w:kern w:val="0"/>
                <w:sz w:val="24"/>
                <w:szCs w:val="24"/>
                <w:lang w:bidi="ar"/>
              </w:rPr>
              <w:t>勒索保险与理赔服务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sz w:val="24"/>
                <w:szCs w:val="24"/>
              </w:rPr>
            </w:pPr>
            <w:r>
              <w:rPr>
                <w:color w:val="000000"/>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8</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sz w:val="24"/>
                <w:szCs w:val="24"/>
              </w:rPr>
            </w:pPr>
            <w:r>
              <w:rPr>
                <w:color w:val="000000"/>
                <w:kern w:val="0"/>
                <w:sz w:val="24"/>
                <w:szCs w:val="24"/>
                <w:lang w:bidi="ar"/>
              </w:rPr>
              <w:t>高级安全与应急服务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sz w:val="24"/>
                <w:szCs w:val="24"/>
              </w:rPr>
            </w:pPr>
            <w:r>
              <w:rPr>
                <w:color w:val="000000"/>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lang w:bidi="ar"/>
              </w:rPr>
            </w:pPr>
            <w:r>
              <w:rPr>
                <w:color w:val="000000"/>
                <w:sz w:val="24"/>
                <w:szCs w:val="24"/>
                <w:lang w:bidi="ar"/>
              </w:rPr>
              <w:t>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kern w:val="0"/>
                <w:sz w:val="24"/>
                <w:szCs w:val="24"/>
                <w:lang w:bidi="ar"/>
              </w:rPr>
            </w:pPr>
            <w:r>
              <w:rPr>
                <w:color w:val="000000"/>
                <w:kern w:val="0"/>
                <w:sz w:val="24"/>
                <w:szCs w:val="24"/>
                <w:lang w:bidi="ar"/>
              </w:rPr>
              <w:t>扩展检测与响应服务</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lang w:bidi="ar"/>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kern w:val="0"/>
                <w:sz w:val="24"/>
                <w:szCs w:val="24"/>
                <w:lang w:bidi="ar"/>
              </w:rPr>
            </w:pPr>
            <w:r>
              <w:rPr>
                <w:color w:val="000000"/>
                <w:kern w:val="0"/>
                <w:sz w:val="24"/>
                <w:szCs w:val="24"/>
                <w:lang w:bidi="ar"/>
              </w:rPr>
              <w:t>套</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10</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sz w:val="24"/>
                <w:szCs w:val="24"/>
              </w:rPr>
            </w:pPr>
            <w:r>
              <w:rPr>
                <w:color w:val="000000"/>
                <w:kern w:val="0"/>
                <w:sz w:val="24"/>
                <w:szCs w:val="24"/>
                <w:lang w:bidi="ar"/>
              </w:rPr>
              <w:t>下一代防火墙</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sz w:val="24"/>
                <w:szCs w:val="24"/>
              </w:rPr>
            </w:pPr>
            <w:r>
              <w:rPr>
                <w:color w:val="000000"/>
                <w:kern w:val="0"/>
                <w:sz w:val="24"/>
                <w:szCs w:val="24"/>
                <w:lang w:bidi="ar"/>
              </w:rPr>
              <w:t>台</w:t>
            </w:r>
          </w:p>
        </w:tc>
      </w:tr>
      <w:tr>
        <w:tblPrEx>
          <w:tblCellMar>
            <w:top w:w="0" w:type="dxa"/>
            <w:left w:w="0" w:type="dxa"/>
            <w:bottom w:w="0" w:type="dxa"/>
            <w:right w:w="0" w:type="dxa"/>
          </w:tblCellMar>
        </w:tblPrEx>
        <w:trPr>
          <w:trHeight w:val="283" w:hRule="atLeast"/>
          <w:jc w:val="center"/>
        </w:trPr>
        <w:tc>
          <w:tcPr>
            <w:tcW w:w="73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bottom"/>
              <w:rPr>
                <w:color w:val="000000"/>
                <w:sz w:val="24"/>
                <w:szCs w:val="24"/>
              </w:rPr>
            </w:pPr>
            <w:r>
              <w:rPr>
                <w:color w:val="000000"/>
                <w:kern w:val="0"/>
                <w:sz w:val="24"/>
                <w:szCs w:val="24"/>
                <w:lang w:bidi="ar"/>
              </w:rPr>
              <w:t>上网行为管理</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textAlignment w:val="center"/>
              <w:rPr>
                <w:color w:val="000000"/>
                <w:sz w:val="24"/>
                <w:szCs w:val="24"/>
              </w:rPr>
            </w:pPr>
            <w:r>
              <w:rPr>
                <w:color w:val="000000"/>
                <w:sz w:val="24"/>
                <w:szCs w:val="24"/>
                <w:lang w:bidi="ar"/>
              </w:rPr>
              <w:t>1</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textAlignment w:val="center"/>
              <w:rPr>
                <w:color w:val="000000"/>
                <w:sz w:val="24"/>
                <w:szCs w:val="24"/>
              </w:rPr>
            </w:pPr>
            <w:r>
              <w:rPr>
                <w:color w:val="000000"/>
                <w:kern w:val="0"/>
                <w:sz w:val="24"/>
                <w:szCs w:val="24"/>
                <w:lang w:bidi="ar"/>
              </w:rPr>
              <w:t>台</w:t>
            </w:r>
          </w:p>
        </w:tc>
      </w:tr>
    </w:tbl>
    <w:p>
      <w:pPr>
        <w:spacing w:line="440" w:lineRule="exact"/>
        <w:rPr>
          <w:sz w:val="24"/>
          <w:szCs w:val="24"/>
        </w:rPr>
      </w:pPr>
    </w:p>
    <w:p>
      <w:pPr>
        <w:pStyle w:val="237"/>
        <w:spacing w:line="440" w:lineRule="exact"/>
        <w:ind w:firstLine="723" w:firstLineChars="300"/>
        <w:rPr>
          <w:b/>
          <w:sz w:val="24"/>
          <w:szCs w:val="24"/>
        </w:rPr>
      </w:pPr>
      <w:r>
        <w:rPr>
          <w:b/>
          <w:sz w:val="24"/>
          <w:szCs w:val="24"/>
        </w:rPr>
        <w:t>三、技术参数</w:t>
      </w:r>
    </w:p>
    <w:p>
      <w:pPr>
        <w:pStyle w:val="408"/>
        <w:spacing w:line="360" w:lineRule="auto"/>
        <w:ind w:firstLineChars="0"/>
        <w:outlineLvl w:val="1"/>
        <w:rPr>
          <w:b/>
          <w:bCs/>
          <w:sz w:val="24"/>
          <w:szCs w:val="24"/>
        </w:rPr>
      </w:pPr>
      <w:r>
        <w:rPr>
          <w:b/>
          <w:bCs/>
          <w:sz w:val="24"/>
          <w:szCs w:val="24"/>
        </w:rPr>
        <w:t>1、安全分析管理平台服务</w:t>
      </w:r>
    </w:p>
    <w:tbl>
      <w:tblPr>
        <w:tblStyle w:val="42"/>
        <w:tblW w:w="8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6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shd w:val="clear" w:color="auto" w:fill="FFC000"/>
          </w:tcPr>
          <w:p>
            <w:pPr>
              <w:pStyle w:val="242"/>
              <w:spacing w:line="300" w:lineRule="auto"/>
              <w:ind w:firstLine="0" w:firstLineChars="0"/>
              <w:jc w:val="center"/>
              <w:rPr>
                <w:rFonts w:ascii="Times New Roman" w:hAnsi="Times New Roman"/>
                <w:b/>
                <w:bCs/>
                <w:lang w:val="zh-TW"/>
              </w:rPr>
            </w:pPr>
            <w:r>
              <w:rPr>
                <w:rFonts w:ascii="Times New Roman" w:hAnsi="Times New Roman"/>
                <w:b/>
                <w:bCs/>
              </w:rPr>
              <w:t>技术指标</w:t>
            </w:r>
          </w:p>
        </w:tc>
        <w:tc>
          <w:tcPr>
            <w:tcW w:w="6679" w:type="dxa"/>
            <w:shd w:val="clear" w:color="auto" w:fill="FFC000"/>
          </w:tcPr>
          <w:p>
            <w:pPr>
              <w:pStyle w:val="242"/>
              <w:spacing w:line="300" w:lineRule="auto"/>
              <w:ind w:firstLine="0" w:firstLineChars="0"/>
              <w:jc w:val="center"/>
              <w:rPr>
                <w:rFonts w:ascii="Times New Roman" w:hAnsi="Times New Roman"/>
                <w:b/>
                <w:bCs/>
                <w:lang w:val="zh-TW"/>
              </w:rPr>
            </w:pPr>
            <w:r>
              <w:rPr>
                <w:rFonts w:ascii="Times New Roman" w:hAnsi="Times New Roman"/>
                <w:b/>
                <w:bC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restart"/>
            <w:vAlign w:val="center"/>
          </w:tcPr>
          <w:p>
            <w:pPr>
              <w:pStyle w:val="242"/>
              <w:spacing w:line="300" w:lineRule="auto"/>
              <w:ind w:firstLine="0" w:firstLineChars="0"/>
              <w:rPr>
                <w:rFonts w:ascii="Times New Roman" w:hAnsi="Times New Roman"/>
              </w:rPr>
            </w:pPr>
            <w:r>
              <w:rPr>
                <w:rFonts w:ascii="Times New Roman" w:hAnsi="Times New Roman"/>
              </w:rPr>
              <w:t>监控中心</w:t>
            </w:r>
          </w:p>
        </w:tc>
        <w:tc>
          <w:tcPr>
            <w:tcW w:w="6679" w:type="dxa"/>
            <w:vAlign w:val="center"/>
          </w:tcPr>
          <w:p>
            <w:pPr>
              <w:pStyle w:val="242"/>
              <w:spacing w:line="300" w:lineRule="auto"/>
              <w:ind w:firstLine="0" w:firstLineChars="0"/>
              <w:rPr>
                <w:rFonts w:ascii="Times New Roman" w:hAnsi="Times New Roman"/>
              </w:rPr>
            </w:pPr>
            <w:r>
              <w:rPr>
                <w:rFonts w:ascii="Times New Roman" w:hAnsi="Times New Roman"/>
              </w:rPr>
              <w:t>支持不同安全视角展示15个独立的大屏，同时能满足多种场景的监控，比如日常运维、攻防演练场景等。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支持安全基线配置监测，可监测到开放了禁用端口、协议、属性变更等，以IP地址、MAC地址、所属租户和检测到时间来判断是否处置。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支持快捷菜单悬浮控件，平台全部功能可根据使用习惯自定义添加到快捷控件，方便使用，提高运维工作效率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支持流量实时识别漏洞分析，页面上支持展示业务脆弱性风险分布、漏洞类型分析、漏洞态势与危害和处置建议，并支持导出脆弱性感知报告。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restart"/>
            <w:vAlign w:val="center"/>
          </w:tcPr>
          <w:p>
            <w:pPr>
              <w:pStyle w:val="242"/>
              <w:spacing w:line="300" w:lineRule="auto"/>
              <w:ind w:firstLine="0" w:firstLineChars="0"/>
              <w:rPr>
                <w:rFonts w:ascii="Times New Roman" w:hAnsi="Times New Roman"/>
              </w:rPr>
            </w:pPr>
            <w:r>
              <w:rPr>
                <w:rFonts w:ascii="Times New Roman" w:hAnsi="Times New Roman"/>
              </w:rPr>
              <w:t>脆弱性管理</w:t>
            </w:r>
          </w:p>
        </w:tc>
        <w:tc>
          <w:tcPr>
            <w:tcW w:w="6679" w:type="dxa"/>
          </w:tcPr>
          <w:p>
            <w:pPr>
              <w:pStyle w:val="242"/>
              <w:spacing w:line="300" w:lineRule="auto"/>
              <w:ind w:firstLine="0" w:firstLineChars="0"/>
              <w:rPr>
                <w:rFonts w:ascii="Times New Roman" w:hAnsi="Times New Roman"/>
              </w:rPr>
            </w:pPr>
            <w:r>
              <w:rPr>
                <w:rFonts w:ascii="Times New Roman" w:hAnsi="Times New Roman"/>
                <w:lang w:val="zh-TW"/>
              </w:rPr>
              <w:t>弱密码检测技术基于UEBA学习技术，提取登陆成功的特征，通过UEBA技术对响应体内容和登录跳转路径进行持续学习训练登录成功特征，可实时自动生成学习到的登陆成功规则。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弱密码检测规则支持高度自定义，包括规则名称、生效域名、长度规则、字符规则、字典序、web空密码、账号白名单、密码白名单。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restart"/>
            <w:vAlign w:val="center"/>
          </w:tcPr>
          <w:p>
            <w:pPr>
              <w:pStyle w:val="242"/>
              <w:spacing w:line="300" w:lineRule="auto"/>
              <w:ind w:firstLine="0" w:firstLineChars="0"/>
              <w:rPr>
                <w:rFonts w:ascii="Times New Roman" w:hAnsi="Times New Roman"/>
              </w:rPr>
            </w:pPr>
            <w:r>
              <w:rPr>
                <w:rFonts w:ascii="Times New Roman" w:hAnsi="Times New Roman"/>
              </w:rPr>
              <w:t>分析中心</w:t>
            </w:r>
          </w:p>
        </w:tc>
        <w:tc>
          <w:tcPr>
            <w:tcW w:w="6679" w:type="dxa"/>
          </w:tcPr>
          <w:p>
            <w:pPr>
              <w:pStyle w:val="242"/>
              <w:spacing w:line="300" w:lineRule="auto"/>
              <w:ind w:firstLine="0" w:firstLineChars="0"/>
              <w:rPr>
                <w:rFonts w:ascii="Times New Roman" w:hAnsi="Times New Roman"/>
              </w:rPr>
            </w:pPr>
            <w:r>
              <w:rPr>
                <w:rFonts w:ascii="Times New Roman" w:hAnsi="Times New Roman"/>
              </w:rPr>
              <w:t>可扩展挖矿检测增强分析模块，该模块变挖矿病毒的被动防御为主动探测发现，并提供根据本地和云端的日志分析提供实时检测播报，包括本地挖矿检测和云端挖矿检测。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支持挖矿威胁专项分析页面，具备挖矿全阶段的检测分析能力，综合运用挖矿病毒情报、漏洞利用规则和攻击行为分析技术，对挖矿进行分析和告警，并提供相关处置建议。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具备基于AI的webshell通信流量检测，可检出加密（如冰蝎）的通信流量。具备650+webshell规则检测，且覆盖webshell整个攻击阶段检测，包括webshell上传点探测、webshell上传下载、webshell通信。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具备规则检测引擎，通过异常行为分析结合各类机器学习算法完成高级威胁检测，包括内网穿透、代理、远控、隧道、反弹shell等场景。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平台内置挖矿知识库，对常见的挖矿如：Bluehero挖矿蠕虫变种、虚拟货币挖矿、EnMiner挖矿病毒、PowerGhost挖矿病毒、DDG挖矿病毒、Docker挖矿、DDG挖矿变种、GroksterMiner挖矿病毒、Linux挖矿木马等提供对应的背景概述、详细分析、IOC、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restart"/>
            <w:vAlign w:val="center"/>
          </w:tcPr>
          <w:p>
            <w:pPr>
              <w:pStyle w:val="242"/>
              <w:spacing w:line="300" w:lineRule="auto"/>
              <w:ind w:firstLine="0" w:firstLineChars="0"/>
              <w:rPr>
                <w:rFonts w:ascii="Times New Roman" w:hAnsi="Times New Roman"/>
              </w:rPr>
            </w:pPr>
            <w:r>
              <w:rPr>
                <w:rFonts w:ascii="Times New Roman" w:hAnsi="Times New Roman"/>
              </w:rPr>
              <w:t>报告中心</w:t>
            </w:r>
          </w:p>
        </w:tc>
        <w:tc>
          <w:tcPr>
            <w:tcW w:w="6679" w:type="dxa"/>
          </w:tcPr>
          <w:p>
            <w:pPr>
              <w:pStyle w:val="242"/>
              <w:spacing w:line="300" w:lineRule="auto"/>
              <w:ind w:firstLine="0" w:firstLineChars="0"/>
              <w:rPr>
                <w:rFonts w:ascii="Times New Roman" w:hAnsi="Times New Roman"/>
              </w:rPr>
            </w:pPr>
            <w:r>
              <w:rPr>
                <w:rFonts w:ascii="Times New Roman" w:hAnsi="Times New Roman"/>
              </w:rPr>
              <w:t>支持以PPT形式快速生成日报、周报、月报、季度报、年报，包含网络安全整体解读、网络安全风险详情、告警及事件响应盘点，帮助用户高效汇报，体现安全工作价值。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pStyle w:val="242"/>
              <w:spacing w:line="300" w:lineRule="auto"/>
              <w:ind w:firstLine="0" w:firstLineChars="0"/>
              <w:rPr>
                <w:rFonts w:ascii="Times New Roman" w:hAnsi="Times New Roman"/>
              </w:rPr>
            </w:pPr>
          </w:p>
        </w:tc>
        <w:tc>
          <w:tcPr>
            <w:tcW w:w="6679" w:type="dxa"/>
          </w:tcPr>
          <w:p>
            <w:pPr>
              <w:pStyle w:val="242"/>
              <w:spacing w:line="300" w:lineRule="auto"/>
              <w:ind w:firstLine="0" w:firstLineChars="0"/>
              <w:rPr>
                <w:rFonts w:ascii="Times New Roman" w:hAnsi="Times New Roman"/>
              </w:rPr>
            </w:pPr>
            <w:r>
              <w:rPr>
                <w:rFonts w:ascii="Times New Roman" w:hAnsi="Times New Roman"/>
              </w:rPr>
              <w:t>订阅方式支持邮件订阅、微信订阅和短信订阅。</w:t>
            </w:r>
          </w:p>
        </w:tc>
      </w:tr>
    </w:tbl>
    <w:p>
      <w:pPr>
        <w:pStyle w:val="242"/>
        <w:rPr>
          <w:rFonts w:hint="eastAsia"/>
        </w:rPr>
      </w:pPr>
    </w:p>
    <w:p>
      <w:pPr>
        <w:pStyle w:val="408"/>
        <w:spacing w:line="360" w:lineRule="auto"/>
        <w:ind w:firstLineChars="0"/>
        <w:outlineLvl w:val="1"/>
        <w:rPr>
          <w:b/>
          <w:bCs/>
          <w:sz w:val="24"/>
          <w:szCs w:val="24"/>
        </w:rPr>
      </w:pPr>
      <w:r>
        <w:rPr>
          <w:b/>
          <w:bCs/>
          <w:sz w:val="24"/>
          <w:szCs w:val="24"/>
        </w:rPr>
        <w:t>2、集成安全管理系统服务</w:t>
      </w:r>
    </w:p>
    <w:tbl>
      <w:tblPr>
        <w:tblStyle w:val="42"/>
        <w:tblW w:w="8203" w:type="dxa"/>
        <w:tblInd w:w="93" w:type="dxa"/>
        <w:tblLayout w:type="autofit"/>
        <w:tblCellMar>
          <w:top w:w="0" w:type="dxa"/>
          <w:left w:w="108" w:type="dxa"/>
          <w:bottom w:w="0" w:type="dxa"/>
          <w:right w:w="108" w:type="dxa"/>
        </w:tblCellMar>
      </w:tblPr>
      <w:tblGrid>
        <w:gridCol w:w="1363"/>
        <w:gridCol w:w="6840"/>
      </w:tblGrid>
      <w:tr>
        <w:tblPrEx>
          <w:tblCellMar>
            <w:top w:w="0" w:type="dxa"/>
            <w:left w:w="108" w:type="dxa"/>
            <w:bottom w:w="0" w:type="dxa"/>
            <w:right w:w="108" w:type="dxa"/>
          </w:tblCellMar>
        </w:tblPrEx>
        <w:trPr>
          <w:trHeight w:val="270" w:hRule="atLeast"/>
        </w:trPr>
        <w:tc>
          <w:tcPr>
            <w:tcW w:w="1363" w:type="dxa"/>
            <w:tcBorders>
              <w:top w:val="single" w:color="auto" w:sz="4" w:space="0"/>
              <w:left w:val="single" w:color="auto" w:sz="4" w:space="0"/>
              <w:bottom w:val="single" w:color="auto" w:sz="4" w:space="0"/>
              <w:right w:val="single" w:color="auto" w:sz="4" w:space="0"/>
            </w:tcBorders>
            <w:shd w:val="clear" w:color="auto" w:fill="FFC000"/>
            <w:vAlign w:val="center"/>
          </w:tcPr>
          <w:p>
            <w:pPr>
              <w:pStyle w:val="408"/>
              <w:spacing w:line="276" w:lineRule="auto"/>
              <w:ind w:firstLine="0" w:firstLineChars="0"/>
              <w:jc w:val="center"/>
              <w:rPr>
                <w:rFonts w:hint="eastAsia"/>
                <w:b/>
                <w:bCs/>
                <w:sz w:val="24"/>
                <w:szCs w:val="24"/>
              </w:rPr>
            </w:pPr>
            <w:r>
              <w:rPr>
                <w:rFonts w:hint="eastAsia"/>
                <w:b/>
                <w:bCs/>
                <w:sz w:val="24"/>
                <w:szCs w:val="24"/>
              </w:rPr>
              <w:t>技术指标</w:t>
            </w:r>
          </w:p>
        </w:tc>
        <w:tc>
          <w:tcPr>
            <w:tcW w:w="6840" w:type="dxa"/>
            <w:tcBorders>
              <w:top w:val="single" w:color="auto" w:sz="4" w:space="0"/>
              <w:left w:val="nil"/>
              <w:bottom w:val="single" w:color="auto" w:sz="4" w:space="0"/>
              <w:right w:val="single" w:color="auto" w:sz="4" w:space="0"/>
            </w:tcBorders>
            <w:shd w:val="clear" w:color="auto" w:fill="FFC000"/>
            <w:vAlign w:val="center"/>
          </w:tcPr>
          <w:p>
            <w:pPr>
              <w:pStyle w:val="408"/>
              <w:spacing w:line="276" w:lineRule="auto"/>
              <w:ind w:firstLine="0" w:firstLineChars="0"/>
              <w:jc w:val="center"/>
              <w:rPr>
                <w:b/>
                <w:bCs/>
                <w:sz w:val="24"/>
                <w:szCs w:val="24"/>
              </w:rPr>
            </w:pPr>
            <w:r>
              <w:rPr>
                <w:b/>
                <w:bCs/>
                <w:sz w:val="24"/>
                <w:szCs w:val="24"/>
              </w:rPr>
              <w:t>指标要求</w:t>
            </w:r>
          </w:p>
        </w:tc>
      </w:tr>
      <w:tr>
        <w:tblPrEx>
          <w:tblCellMar>
            <w:top w:w="0" w:type="dxa"/>
            <w:left w:w="108" w:type="dxa"/>
            <w:bottom w:w="0" w:type="dxa"/>
            <w:right w:w="108" w:type="dxa"/>
          </w:tblCellMar>
        </w:tblPrEx>
        <w:trPr>
          <w:trHeight w:val="279" w:hRule="atLeast"/>
        </w:trPr>
        <w:tc>
          <w:tcPr>
            <w:tcW w:w="1363" w:type="dxa"/>
            <w:tcBorders>
              <w:top w:val="nil"/>
              <w:left w:val="single" w:color="auto" w:sz="4" w:space="0"/>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产品形态</w:t>
            </w: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产品支持软、硬件一体化与软硬件解耦两种部署方式</w:t>
            </w:r>
            <w:r>
              <w:rPr>
                <w:rFonts w:hint="eastAsia"/>
                <w:sz w:val="24"/>
                <w:szCs w:val="24"/>
              </w:rPr>
              <w:t>，并支持</w:t>
            </w:r>
            <w:r>
              <w:rPr>
                <w:sz w:val="24"/>
                <w:szCs w:val="24"/>
              </w:rPr>
              <w:t>网桥、路由、旁路模式部署</w:t>
            </w:r>
          </w:p>
        </w:tc>
      </w:tr>
      <w:tr>
        <w:tblPrEx>
          <w:tblCellMar>
            <w:top w:w="0" w:type="dxa"/>
            <w:left w:w="108" w:type="dxa"/>
            <w:bottom w:w="0" w:type="dxa"/>
            <w:right w:w="108" w:type="dxa"/>
          </w:tblCellMar>
        </w:tblPrEx>
        <w:trPr>
          <w:trHeight w:val="217" w:hRule="atLeast"/>
        </w:trPr>
        <w:tc>
          <w:tcPr>
            <w:tcW w:w="1363" w:type="dxa"/>
            <w:vMerge w:val="restart"/>
            <w:tcBorders>
              <w:top w:val="nil"/>
              <w:left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平台要求</w:t>
            </w: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平台包含数据库审计、运维审计、日志审计等安全功能组件</w:t>
            </w:r>
          </w:p>
        </w:tc>
      </w:tr>
      <w:tr>
        <w:tblPrEx>
          <w:tblCellMar>
            <w:top w:w="0" w:type="dxa"/>
            <w:left w:w="108" w:type="dxa"/>
            <w:bottom w:w="0" w:type="dxa"/>
            <w:right w:w="108" w:type="dxa"/>
          </w:tblCellMar>
        </w:tblPrEx>
        <w:trPr>
          <w:trHeight w:val="270"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在管理平台上可以通过拖拽虚拟设备图标和连线就能完成网络拓扑的构建，快速的实现整个业务逻辑的编排，并且可以连接、开启、关闭虚拟网络设备。</w:t>
            </w:r>
          </w:p>
        </w:tc>
      </w:tr>
      <w:tr>
        <w:tblPrEx>
          <w:tblCellMar>
            <w:top w:w="0" w:type="dxa"/>
            <w:left w:w="108" w:type="dxa"/>
            <w:bottom w:w="0" w:type="dxa"/>
            <w:right w:w="108" w:type="dxa"/>
          </w:tblCellMar>
        </w:tblPrEx>
        <w:trPr>
          <w:trHeight w:val="270"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为了提供更好的排障手段，支持在平台内节点抓包分析功能，能够设置抓包的网口、过滤条件、文件大小等参数</w:t>
            </w:r>
          </w:p>
        </w:tc>
      </w:tr>
      <w:tr>
        <w:tblPrEx>
          <w:tblCellMar>
            <w:top w:w="0" w:type="dxa"/>
            <w:left w:w="108" w:type="dxa"/>
            <w:bottom w:w="0" w:type="dxa"/>
            <w:right w:w="108" w:type="dxa"/>
          </w:tblCellMar>
        </w:tblPrEx>
        <w:trPr>
          <w:trHeight w:val="270"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bookmarkStart w:id="1" w:name="_Hlk511382877"/>
            <w:r>
              <w:rPr>
                <w:sz w:val="24"/>
                <w:szCs w:val="24"/>
              </w:rPr>
              <w:t>平台支持关键安全组件双机功能，保障安全组件高可用</w:t>
            </w:r>
            <w:bookmarkEnd w:id="1"/>
            <w:r>
              <w:rPr>
                <w:sz w:val="24"/>
                <w:szCs w:val="24"/>
              </w:rPr>
              <w:t>；在双机场景下，管理平台要支持双机配置同步，在硬件故障时保障无感知切换。</w:t>
            </w:r>
          </w:p>
        </w:tc>
      </w:tr>
      <w:tr>
        <w:tblPrEx>
          <w:tblCellMar>
            <w:top w:w="0" w:type="dxa"/>
            <w:left w:w="108" w:type="dxa"/>
            <w:bottom w:w="0" w:type="dxa"/>
            <w:right w:w="108" w:type="dxa"/>
          </w:tblCellMar>
        </w:tblPrEx>
        <w:trPr>
          <w:trHeight w:val="270"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支持双因素认证功能，用户需在登录时进行双重认证，以此提高用户的安全性。</w:t>
            </w:r>
          </w:p>
        </w:tc>
      </w:tr>
      <w:tr>
        <w:tblPrEx>
          <w:tblCellMar>
            <w:top w:w="0" w:type="dxa"/>
            <w:left w:w="108" w:type="dxa"/>
            <w:bottom w:w="0" w:type="dxa"/>
            <w:right w:w="108" w:type="dxa"/>
          </w:tblCellMar>
        </w:tblPrEx>
        <w:trPr>
          <w:trHeight w:val="270"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支持禁用默认超级管理员账号，防止特权账号被滥用。</w:t>
            </w:r>
          </w:p>
        </w:tc>
      </w:tr>
      <w:tr>
        <w:tblPrEx>
          <w:tblCellMar>
            <w:top w:w="0" w:type="dxa"/>
            <w:left w:w="108" w:type="dxa"/>
            <w:bottom w:w="0" w:type="dxa"/>
            <w:right w:w="108" w:type="dxa"/>
          </w:tblCellMar>
        </w:tblPrEx>
        <w:trPr>
          <w:trHeight w:val="270" w:hRule="atLeast"/>
        </w:trPr>
        <w:tc>
          <w:tcPr>
            <w:tcW w:w="1363" w:type="dxa"/>
            <w:vMerge w:val="continue"/>
            <w:tcBorders>
              <w:left w:val="single" w:color="auto" w:sz="4" w:space="0"/>
              <w:bottom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支持针对安全组件账号的三权分立管理，实现平台管理员账号与安全组件账号权限的对应，防止平台管理员对安全组件进行越权操作。</w:t>
            </w:r>
          </w:p>
        </w:tc>
      </w:tr>
      <w:tr>
        <w:tblPrEx>
          <w:tblCellMar>
            <w:top w:w="0" w:type="dxa"/>
            <w:left w:w="108" w:type="dxa"/>
            <w:bottom w:w="0" w:type="dxa"/>
            <w:right w:w="108" w:type="dxa"/>
          </w:tblCellMar>
        </w:tblPrEx>
        <w:trPr>
          <w:trHeight w:val="270" w:hRule="atLeast"/>
        </w:trPr>
        <w:tc>
          <w:tcPr>
            <w:tcW w:w="1363" w:type="dxa"/>
            <w:vMerge w:val="restart"/>
            <w:tcBorders>
              <w:left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集中管控</w:t>
            </w: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支持基于一体化平台的安全管理中心功能，能够对设备进行统一纳管，包括规则库与补丁包的统一升级、策略的统一配置、客户端补丁包统一升级等</w:t>
            </w:r>
          </w:p>
        </w:tc>
      </w:tr>
      <w:tr>
        <w:tblPrEx>
          <w:tblCellMar>
            <w:top w:w="0" w:type="dxa"/>
            <w:left w:w="108" w:type="dxa"/>
            <w:bottom w:w="0" w:type="dxa"/>
            <w:right w:w="108" w:type="dxa"/>
          </w:tblCellMar>
        </w:tblPrEx>
        <w:trPr>
          <w:trHeight w:val="711"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支持等保2.0安全管理中心要求自评功能，能够进行完整度评估</w:t>
            </w:r>
          </w:p>
        </w:tc>
      </w:tr>
      <w:tr>
        <w:tblPrEx>
          <w:tblCellMar>
            <w:top w:w="0" w:type="dxa"/>
            <w:left w:w="108" w:type="dxa"/>
            <w:bottom w:w="0" w:type="dxa"/>
            <w:right w:w="108" w:type="dxa"/>
          </w:tblCellMar>
        </w:tblPrEx>
        <w:trPr>
          <w:trHeight w:val="715"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支持安全管理中心交付模板，帮助用户快速交付安全管理中心各项功能</w:t>
            </w:r>
          </w:p>
        </w:tc>
      </w:tr>
      <w:tr>
        <w:tblPrEx>
          <w:tblCellMar>
            <w:top w:w="0" w:type="dxa"/>
            <w:left w:w="108" w:type="dxa"/>
            <w:bottom w:w="0" w:type="dxa"/>
            <w:right w:w="108" w:type="dxa"/>
          </w:tblCellMar>
        </w:tblPrEx>
        <w:trPr>
          <w:trHeight w:val="270" w:hRule="atLeast"/>
        </w:trPr>
        <w:tc>
          <w:tcPr>
            <w:tcW w:w="1363" w:type="dxa"/>
            <w:vMerge w:val="continue"/>
            <w:tcBorders>
              <w:left w:val="single" w:color="auto" w:sz="4" w:space="0"/>
              <w:bottom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支持对一体化平台上的虚拟安全组件和外部接入安全硬件的统一管理</w:t>
            </w:r>
          </w:p>
        </w:tc>
      </w:tr>
      <w:tr>
        <w:tblPrEx>
          <w:tblCellMar>
            <w:top w:w="0" w:type="dxa"/>
            <w:left w:w="108" w:type="dxa"/>
            <w:bottom w:w="0" w:type="dxa"/>
            <w:right w:w="108" w:type="dxa"/>
          </w:tblCellMar>
        </w:tblPrEx>
        <w:trPr>
          <w:trHeight w:val="270" w:hRule="atLeast"/>
        </w:trPr>
        <w:tc>
          <w:tcPr>
            <w:tcW w:w="1363" w:type="dxa"/>
            <w:vMerge w:val="restart"/>
            <w:tcBorders>
              <w:left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数据库审计功能要求</w:t>
            </w: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本次提供16个数据库实例数授权。</w:t>
            </w:r>
          </w:p>
        </w:tc>
      </w:tr>
      <w:tr>
        <w:tblPrEx>
          <w:tblCellMar>
            <w:top w:w="0" w:type="dxa"/>
            <w:left w:w="108" w:type="dxa"/>
            <w:bottom w:w="0" w:type="dxa"/>
            <w:right w:w="108" w:type="dxa"/>
          </w:tblCellMar>
        </w:tblPrEx>
        <w:trPr>
          <w:trHeight w:val="270"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nil"/>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审计性能：峰值SQL处理能力≥16000条/秒；硬件最大吞吐量2000Mbps；双向审计数据库流量200Mbps；标配日志存储数40亿条；审计日志检索能力≥1500万条/秒。</w:t>
            </w:r>
          </w:p>
        </w:tc>
      </w:tr>
      <w:tr>
        <w:tblPrEx>
          <w:tblCellMar>
            <w:top w:w="0" w:type="dxa"/>
            <w:left w:w="108" w:type="dxa"/>
            <w:bottom w:w="0" w:type="dxa"/>
            <w:right w:w="108" w:type="dxa"/>
          </w:tblCellMar>
        </w:tblPrEx>
        <w:trPr>
          <w:trHeight w:val="205"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多种数据库类型的审计，支持Oracle数据库审计、SQL-Server数据库审计、DB2数据库审计、MySQL数据库审计、Informix数据库审计、达梦数据库审计、人大金仓数据库审计、postgresql数据库审计、sysbase数据库审计、cache数据库；</w:t>
            </w:r>
          </w:p>
        </w:tc>
      </w:tr>
      <w:tr>
        <w:tblPrEx>
          <w:tblCellMar>
            <w:top w:w="0" w:type="dxa"/>
            <w:left w:w="108" w:type="dxa"/>
            <w:bottom w:w="0" w:type="dxa"/>
            <w:right w:w="108" w:type="dxa"/>
          </w:tblCellMar>
        </w:tblPrEx>
        <w:trPr>
          <w:trHeight w:val="784"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rFonts w:hint="eastAsia"/>
                <w:sz w:val="24"/>
                <w:szCs w:val="24"/>
              </w:rPr>
            </w:pPr>
            <w:bookmarkStart w:id="2" w:name="_Hlk511383157"/>
            <w:r>
              <w:rPr>
                <w:sz w:val="24"/>
                <w:szCs w:val="24"/>
              </w:rPr>
              <w:t>支持白名单审计，系统使用审计白名单将非关注的内容进行过滤，不进行记录，降低了存储空间和无用信息的堆砌，白名单内容包括以下4个维度:SQL模板、业务系统、URL地址及数据库条件</w:t>
            </w:r>
            <w:bookmarkEnd w:id="2"/>
          </w:p>
        </w:tc>
      </w:tr>
      <w:tr>
        <w:tblPrEx>
          <w:tblCellMar>
            <w:top w:w="0" w:type="dxa"/>
            <w:left w:w="108" w:type="dxa"/>
            <w:bottom w:w="0" w:type="dxa"/>
            <w:right w:w="108" w:type="dxa"/>
          </w:tblCellMar>
        </w:tblPrEx>
        <w:trPr>
          <w:trHeight w:val="784"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bookmarkStart w:id="3" w:name="_Hlk511384204"/>
            <w:r>
              <w:rPr>
                <w:sz w:val="24"/>
                <w:szCs w:val="24"/>
              </w:rPr>
              <w:t>支持自动基线学习数据库语义语法，并支持提取参数自动生成SQL模板，可以减少审计日志的重复写入和节省磁盘的存储空间</w:t>
            </w:r>
            <w:bookmarkEnd w:id="3"/>
          </w:p>
        </w:tc>
      </w:tr>
      <w:tr>
        <w:tblPrEx>
          <w:tblCellMar>
            <w:top w:w="0" w:type="dxa"/>
            <w:left w:w="108" w:type="dxa"/>
            <w:bottom w:w="0" w:type="dxa"/>
            <w:right w:w="108" w:type="dxa"/>
          </w:tblCellMar>
        </w:tblPrEx>
        <w:trPr>
          <w:trHeight w:val="346" w:hRule="atLeast"/>
        </w:trPr>
        <w:tc>
          <w:tcPr>
            <w:tcW w:w="1363" w:type="dxa"/>
            <w:vMerge w:val="continue"/>
            <w:tcBorders>
              <w:left w:val="single" w:color="auto" w:sz="4" w:space="0"/>
              <w:bottom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支持基于SQL命令的webshell检测，提供webshell日志查询；</w:t>
            </w:r>
          </w:p>
          <w:p>
            <w:pPr>
              <w:pStyle w:val="408"/>
              <w:spacing w:line="276" w:lineRule="auto"/>
              <w:ind w:firstLine="0" w:firstLineChars="0"/>
              <w:rPr>
                <w:sz w:val="24"/>
                <w:szCs w:val="24"/>
              </w:rPr>
            </w:pPr>
            <w:r>
              <w:rPr>
                <w:sz w:val="24"/>
                <w:szCs w:val="24"/>
              </w:rPr>
              <w:t>可通过查看webshell攻击的时间、源IP、业务系统、webshell规则发现威胁；</w:t>
            </w:r>
          </w:p>
        </w:tc>
      </w:tr>
      <w:tr>
        <w:tblPrEx>
          <w:tblCellMar>
            <w:top w:w="0" w:type="dxa"/>
            <w:left w:w="108" w:type="dxa"/>
            <w:bottom w:w="0" w:type="dxa"/>
            <w:right w:w="108" w:type="dxa"/>
          </w:tblCellMar>
        </w:tblPrEx>
        <w:trPr>
          <w:trHeight w:val="447" w:hRule="atLeast"/>
        </w:trPr>
        <w:tc>
          <w:tcPr>
            <w:tcW w:w="1363" w:type="dxa"/>
            <w:vMerge w:val="restart"/>
            <w:tcBorders>
              <w:top w:val="single" w:color="auto" w:sz="4" w:space="0"/>
              <w:left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运维审计功能要求</w:t>
            </w: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本次提供20个内网运维授权数和10个外网运维授权数</w:t>
            </w:r>
          </w:p>
        </w:tc>
      </w:tr>
      <w:tr>
        <w:tblPrEx>
          <w:tblCellMar>
            <w:top w:w="0" w:type="dxa"/>
            <w:left w:w="108" w:type="dxa"/>
            <w:bottom w:w="0" w:type="dxa"/>
            <w:right w:w="108" w:type="dxa"/>
          </w:tblCellMar>
        </w:tblPrEx>
        <w:trPr>
          <w:trHeight w:val="654" w:hRule="atLeast"/>
        </w:trPr>
        <w:tc>
          <w:tcPr>
            <w:tcW w:w="1363" w:type="dxa"/>
            <w:vMerge w:val="continue"/>
            <w:tcBorders>
              <w:top w:val="single" w:color="auto" w:sz="4" w:space="0"/>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审计性能：峰值SQL处理能力≥16000条/秒；硬件最大吞吐量2000Mbps；双向审计数据库流量200Mbps；标配日志存储数40亿条；审计日志检索能力≥1500万条/秒</w:t>
            </w:r>
          </w:p>
        </w:tc>
      </w:tr>
      <w:tr>
        <w:tblPrEx>
          <w:tblCellMar>
            <w:top w:w="0" w:type="dxa"/>
            <w:left w:w="108" w:type="dxa"/>
            <w:bottom w:w="0" w:type="dxa"/>
            <w:right w:w="108" w:type="dxa"/>
          </w:tblCellMar>
        </w:tblPrEx>
        <w:trPr>
          <w:trHeight w:val="654"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bookmarkStart w:id="4" w:name="_Hlk511381652"/>
            <w:r>
              <w:rPr>
                <w:sz w:val="24"/>
                <w:szCs w:val="24"/>
              </w:rPr>
              <w:t>内置配置管理员、密码管理员、审计管理员、系统管理员、系统审计员、普通运维用户等管理角色</w:t>
            </w:r>
            <w:bookmarkEnd w:id="4"/>
          </w:p>
        </w:tc>
      </w:tr>
      <w:tr>
        <w:tblPrEx>
          <w:tblCellMar>
            <w:top w:w="0" w:type="dxa"/>
            <w:left w:w="108" w:type="dxa"/>
            <w:bottom w:w="0" w:type="dxa"/>
            <w:right w:w="108" w:type="dxa"/>
          </w:tblCellMar>
        </w:tblPrEx>
        <w:trPr>
          <w:trHeight w:val="381"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针对RDP、VNC、X11等图形终端操作的连接情况进行记录及审计；记录发生时间、发生地址、服务端IP、客户端IP、操作指令、返回信息、操作备注、客户端端口、服务器端口、运维用户帐号、运维用户姓名、审批用户帐号、审批用户姓名、服务器用户名等信息；</w:t>
            </w:r>
          </w:p>
        </w:tc>
      </w:tr>
      <w:tr>
        <w:tblPrEx>
          <w:tblCellMar>
            <w:top w:w="0" w:type="dxa"/>
            <w:left w:w="108" w:type="dxa"/>
            <w:bottom w:w="0" w:type="dxa"/>
            <w:right w:w="108" w:type="dxa"/>
          </w:tblCellMar>
        </w:tblPrEx>
        <w:trPr>
          <w:trHeight w:val="381" w:hRule="atLeast"/>
        </w:trPr>
        <w:tc>
          <w:tcPr>
            <w:tcW w:w="1363" w:type="dxa"/>
            <w:vMerge w:val="continue"/>
            <w:tcBorders>
              <w:left w:val="single" w:color="auto" w:sz="4" w:space="0"/>
              <w:bottom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 xml:space="preserve">能够记录RDP协议中的活动窗口名称、删除文件等动作，并能记录RDP会话中的键盘输入信息； </w:t>
            </w:r>
          </w:p>
        </w:tc>
      </w:tr>
      <w:tr>
        <w:tblPrEx>
          <w:tblCellMar>
            <w:top w:w="0" w:type="dxa"/>
            <w:left w:w="108" w:type="dxa"/>
            <w:bottom w:w="0" w:type="dxa"/>
            <w:right w:w="108" w:type="dxa"/>
          </w:tblCellMar>
        </w:tblPrEx>
        <w:trPr>
          <w:trHeight w:val="381" w:hRule="atLeast"/>
        </w:trPr>
        <w:tc>
          <w:tcPr>
            <w:tcW w:w="1363" w:type="dxa"/>
            <w:vMerge w:val="restart"/>
            <w:tcBorders>
              <w:top w:val="single" w:color="auto" w:sz="4" w:space="0"/>
              <w:left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日志审计功能要求</w:t>
            </w: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本次提供100个日志资产授权数量；日志处理能力EPS：4000/秒</w:t>
            </w:r>
          </w:p>
        </w:tc>
      </w:tr>
      <w:tr>
        <w:tblPrEx>
          <w:tblCellMar>
            <w:top w:w="0" w:type="dxa"/>
            <w:left w:w="108" w:type="dxa"/>
            <w:bottom w:w="0" w:type="dxa"/>
            <w:right w:w="108" w:type="dxa"/>
          </w:tblCellMar>
        </w:tblPrEx>
        <w:trPr>
          <w:trHeight w:val="381"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系统从不同设备或系统中所获得的各类日志、事件中抽取相关片段准确和完整地映射至安全事件的标准字段</w:t>
            </w:r>
          </w:p>
        </w:tc>
      </w:tr>
      <w:tr>
        <w:tblPrEx>
          <w:tblCellMar>
            <w:top w:w="0" w:type="dxa"/>
            <w:left w:w="108" w:type="dxa"/>
            <w:bottom w:w="0" w:type="dxa"/>
            <w:right w:w="108" w:type="dxa"/>
          </w:tblCellMar>
        </w:tblPrEx>
        <w:trPr>
          <w:trHeight w:val="381" w:hRule="atLeast"/>
        </w:trPr>
        <w:tc>
          <w:tcPr>
            <w:tcW w:w="1363" w:type="dxa"/>
            <w:vMerge w:val="continue"/>
            <w:tcBorders>
              <w:left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bookmarkStart w:id="5" w:name="_Hlk511381686"/>
            <w:r>
              <w:rPr>
                <w:sz w:val="24"/>
                <w:szCs w:val="24"/>
              </w:rPr>
              <w:t>对安全事件重新定级。能根据统一的安全策略，按照安全设备识别名、事件类别、事件级别等所有可能的条件及各种条件的组合对事件严重级别进行重定义</w:t>
            </w:r>
            <w:bookmarkEnd w:id="5"/>
          </w:p>
        </w:tc>
      </w:tr>
      <w:tr>
        <w:tblPrEx>
          <w:tblCellMar>
            <w:top w:w="0" w:type="dxa"/>
            <w:left w:w="108" w:type="dxa"/>
            <w:bottom w:w="0" w:type="dxa"/>
            <w:right w:w="108" w:type="dxa"/>
          </w:tblCellMar>
        </w:tblPrEx>
        <w:trPr>
          <w:trHeight w:val="381" w:hRule="atLeast"/>
        </w:trPr>
        <w:tc>
          <w:tcPr>
            <w:tcW w:w="1363" w:type="dxa"/>
            <w:vMerge w:val="continue"/>
            <w:tcBorders>
              <w:left w:val="single" w:color="auto" w:sz="4" w:space="0"/>
              <w:bottom w:val="single" w:color="auto" w:sz="4" w:space="0"/>
              <w:right w:val="single" w:color="auto" w:sz="4" w:space="0"/>
            </w:tcBorders>
            <w:vAlign w:val="center"/>
          </w:tcPr>
          <w:p>
            <w:pPr>
              <w:pStyle w:val="408"/>
              <w:spacing w:line="276" w:lineRule="auto"/>
              <w:ind w:firstLine="0" w:firstLineChars="0"/>
              <w:rPr>
                <w:sz w:val="24"/>
                <w:szCs w:val="24"/>
              </w:rPr>
            </w:pPr>
          </w:p>
        </w:tc>
        <w:tc>
          <w:tcPr>
            <w:tcW w:w="6840" w:type="dxa"/>
            <w:tcBorders>
              <w:top w:val="single" w:color="auto" w:sz="4" w:space="0"/>
              <w:left w:val="nil"/>
              <w:bottom w:val="single" w:color="auto" w:sz="4" w:space="0"/>
              <w:right w:val="single" w:color="auto" w:sz="4" w:space="0"/>
            </w:tcBorders>
            <w:vAlign w:val="center"/>
          </w:tcPr>
          <w:p>
            <w:pPr>
              <w:pStyle w:val="408"/>
              <w:spacing w:line="276" w:lineRule="auto"/>
              <w:ind w:firstLine="0" w:firstLineChars="0"/>
              <w:rPr>
                <w:sz w:val="24"/>
                <w:szCs w:val="24"/>
              </w:rPr>
            </w:pPr>
            <w:r>
              <w:rPr>
                <w:sz w:val="24"/>
                <w:szCs w:val="24"/>
              </w:rPr>
              <w:t>系统既可以完全收集采集对象上的日志信息，也支持在安全事件收集引擎上设置过滤条件，可过滤出无关安全事件，满足根据实际业务需求减少采集对象发送到核心服务器的安全事件数，从而减少对网络带宽和数据库存储空间的占用。</w:t>
            </w:r>
          </w:p>
        </w:tc>
      </w:tr>
    </w:tbl>
    <w:p>
      <w:pPr>
        <w:pStyle w:val="408"/>
        <w:spacing w:line="360" w:lineRule="auto"/>
        <w:ind w:firstLineChars="0"/>
        <w:outlineLvl w:val="1"/>
        <w:rPr>
          <w:b/>
          <w:bCs/>
          <w:sz w:val="24"/>
          <w:szCs w:val="24"/>
        </w:rPr>
      </w:pPr>
      <w:r>
        <w:rPr>
          <w:b/>
          <w:bCs/>
          <w:sz w:val="24"/>
          <w:szCs w:val="24"/>
        </w:rPr>
        <w:t>3、流量威胁检测服务</w:t>
      </w:r>
    </w:p>
    <w:tbl>
      <w:tblPr>
        <w:tblStyle w:val="42"/>
        <w:tblW w:w="8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6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shd w:val="clear" w:color="auto" w:fill="FFC000"/>
          </w:tcPr>
          <w:p>
            <w:pPr>
              <w:widowControl/>
              <w:spacing w:line="276" w:lineRule="auto"/>
              <w:jc w:val="center"/>
              <w:rPr>
                <w:sz w:val="24"/>
                <w:szCs w:val="24"/>
                <w:lang w:val="zh-TW" w:eastAsia="zh-TW"/>
              </w:rPr>
            </w:pPr>
            <w:r>
              <w:rPr>
                <w:b/>
                <w:kern w:val="0"/>
                <w:sz w:val="24"/>
                <w:szCs w:val="24"/>
              </w:rPr>
              <w:t>技术指标</w:t>
            </w:r>
          </w:p>
        </w:tc>
        <w:tc>
          <w:tcPr>
            <w:tcW w:w="6679" w:type="dxa"/>
            <w:shd w:val="clear" w:color="auto" w:fill="FFC000"/>
          </w:tcPr>
          <w:p>
            <w:pPr>
              <w:widowControl/>
              <w:spacing w:line="276" w:lineRule="auto"/>
              <w:jc w:val="center"/>
              <w:rPr>
                <w:sz w:val="24"/>
                <w:szCs w:val="24"/>
                <w:lang w:val="zh-TW" w:eastAsia="zh-TW"/>
              </w:rPr>
            </w:pPr>
            <w:r>
              <w:rPr>
                <w:b/>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tcPr>
          <w:p>
            <w:pPr>
              <w:widowControl/>
              <w:spacing w:line="276" w:lineRule="auto"/>
              <w:rPr>
                <w:kern w:val="0"/>
                <w:sz w:val="24"/>
                <w:szCs w:val="24"/>
              </w:rPr>
            </w:pPr>
            <w:r>
              <w:rPr>
                <w:kern w:val="0"/>
                <w:sz w:val="24"/>
                <w:szCs w:val="24"/>
              </w:rPr>
              <w:t>资产发现</w:t>
            </w:r>
          </w:p>
        </w:tc>
        <w:tc>
          <w:tcPr>
            <w:tcW w:w="6679" w:type="dxa"/>
          </w:tcPr>
          <w:p>
            <w:pPr>
              <w:widowControl/>
              <w:spacing w:line="276" w:lineRule="auto"/>
              <w:rPr>
                <w:kern w:val="0"/>
                <w:sz w:val="24"/>
                <w:szCs w:val="24"/>
              </w:rPr>
            </w:pPr>
            <w:r>
              <w:rPr>
                <w:kern w:val="0"/>
                <w:sz w:val="24"/>
                <w:szCs w:val="24"/>
              </w:rPr>
              <w:t>具备主动发送少量探测报文，发现潜在的服务器（影子资产）以及学习服务器的基础信息，如：操作系统、开放的端口号等。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restart"/>
            <w:vAlign w:val="center"/>
          </w:tcPr>
          <w:p>
            <w:pPr>
              <w:widowControl/>
              <w:spacing w:line="276" w:lineRule="auto"/>
              <w:rPr>
                <w:kern w:val="0"/>
                <w:sz w:val="24"/>
                <w:szCs w:val="24"/>
              </w:rPr>
            </w:pPr>
            <w:r>
              <w:rPr>
                <w:kern w:val="0"/>
                <w:sz w:val="24"/>
                <w:szCs w:val="24"/>
              </w:rPr>
              <w:t>漏洞利用攻击检测</w:t>
            </w:r>
          </w:p>
        </w:tc>
        <w:tc>
          <w:tcPr>
            <w:tcW w:w="6679" w:type="dxa"/>
          </w:tcPr>
          <w:p>
            <w:pPr>
              <w:widowControl/>
              <w:spacing w:line="276" w:lineRule="auto"/>
              <w:rPr>
                <w:kern w:val="0"/>
                <w:sz w:val="24"/>
                <w:szCs w:val="24"/>
              </w:rPr>
            </w:pPr>
            <w:r>
              <w:rPr>
                <w:kern w:val="0"/>
                <w:sz w:val="24"/>
                <w:szCs w:val="24"/>
              </w:rPr>
              <w:t>支持Database漏洞攻击、DNS漏洞攻击、FTP漏洞攻击、Mail漏洞攻击、Network Device、Media漏洞攻击、Shellcode漏洞攻击、Scan漏洞攻击等服务器漏洞攻击检测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widowControl/>
              <w:spacing w:line="276" w:lineRule="auto"/>
              <w:rPr>
                <w:kern w:val="0"/>
                <w:sz w:val="24"/>
                <w:szCs w:val="24"/>
              </w:rPr>
            </w:pPr>
          </w:p>
        </w:tc>
        <w:tc>
          <w:tcPr>
            <w:tcW w:w="6679" w:type="dxa"/>
          </w:tcPr>
          <w:p>
            <w:pPr>
              <w:widowControl/>
              <w:spacing w:line="276" w:lineRule="auto"/>
              <w:rPr>
                <w:kern w:val="0"/>
                <w:sz w:val="24"/>
                <w:szCs w:val="24"/>
              </w:rPr>
            </w:pPr>
            <w:r>
              <w:rPr>
                <w:kern w:val="0"/>
                <w:sz w:val="24"/>
                <w:szCs w:val="24"/>
              </w:rPr>
              <w:t>支持Application漏洞攻击、File漏洞攻击、Scan漏洞攻击、Shellcode漏洞攻击、System漏洞攻击、Web Activex等客户端漏洞攻击检测。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widowControl/>
              <w:spacing w:line="276" w:lineRule="auto"/>
              <w:rPr>
                <w:kern w:val="0"/>
                <w:sz w:val="24"/>
                <w:szCs w:val="24"/>
              </w:rPr>
            </w:pPr>
          </w:p>
        </w:tc>
        <w:tc>
          <w:tcPr>
            <w:tcW w:w="6679" w:type="dxa"/>
          </w:tcPr>
          <w:p>
            <w:pPr>
              <w:widowControl/>
              <w:spacing w:line="276" w:lineRule="auto"/>
              <w:rPr>
                <w:kern w:val="0"/>
                <w:sz w:val="24"/>
                <w:szCs w:val="24"/>
              </w:rPr>
            </w:pPr>
            <w:r>
              <w:rPr>
                <w:kern w:val="0"/>
                <w:sz w:val="24"/>
                <w:szCs w:val="24"/>
              </w:rPr>
              <w:t>支持FTP、IMAP、MS Sql、Mysql、Oracle、SMTP、SSH、Telnet等协议的暴力破解检测。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restart"/>
            <w:vAlign w:val="center"/>
          </w:tcPr>
          <w:p>
            <w:pPr>
              <w:widowControl/>
              <w:spacing w:line="276" w:lineRule="auto"/>
              <w:rPr>
                <w:kern w:val="0"/>
                <w:sz w:val="24"/>
                <w:szCs w:val="24"/>
              </w:rPr>
            </w:pPr>
            <w:r>
              <w:rPr>
                <w:kern w:val="0"/>
                <w:sz w:val="24"/>
                <w:szCs w:val="24"/>
              </w:rPr>
              <w:t>异常流量检测</w:t>
            </w:r>
          </w:p>
        </w:tc>
        <w:tc>
          <w:tcPr>
            <w:tcW w:w="6679" w:type="dxa"/>
          </w:tcPr>
          <w:p>
            <w:pPr>
              <w:widowControl/>
              <w:spacing w:line="276" w:lineRule="auto"/>
              <w:rPr>
                <w:kern w:val="0"/>
                <w:sz w:val="24"/>
                <w:szCs w:val="24"/>
              </w:rPr>
            </w:pPr>
            <w:r>
              <w:rPr>
                <w:kern w:val="0"/>
                <w:sz w:val="24"/>
                <w:szCs w:val="24"/>
              </w:rPr>
              <w:t>支持标准端口运行非标准协议，非标准端口运行标准协议的异常流量检测，端口类型包括3389、53、80/8080、21、69、443、25、110、143、22等。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widowControl/>
              <w:spacing w:line="276" w:lineRule="auto"/>
              <w:rPr>
                <w:kern w:val="0"/>
                <w:sz w:val="24"/>
                <w:szCs w:val="24"/>
              </w:rPr>
            </w:pPr>
          </w:p>
        </w:tc>
        <w:tc>
          <w:tcPr>
            <w:tcW w:w="6679" w:type="dxa"/>
          </w:tcPr>
          <w:p>
            <w:pPr>
              <w:widowControl/>
              <w:spacing w:line="276" w:lineRule="auto"/>
              <w:rPr>
                <w:kern w:val="0"/>
                <w:sz w:val="24"/>
                <w:szCs w:val="24"/>
              </w:rPr>
            </w:pPr>
            <w:r>
              <w:rPr>
                <w:kern w:val="0"/>
                <w:sz w:val="24"/>
                <w:szCs w:val="24"/>
              </w:rPr>
              <w:t>支持ICMP、UDP、SYN、DNS等协议外发异常流量检测，支持自定义阀值。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Align w:val="center"/>
          </w:tcPr>
          <w:p>
            <w:pPr>
              <w:widowControl/>
              <w:spacing w:line="276" w:lineRule="auto"/>
              <w:rPr>
                <w:kern w:val="0"/>
                <w:sz w:val="24"/>
                <w:szCs w:val="24"/>
              </w:rPr>
            </w:pPr>
            <w:r>
              <w:rPr>
                <w:kern w:val="0"/>
                <w:sz w:val="24"/>
                <w:szCs w:val="24"/>
              </w:rPr>
              <w:t>僵尸网络行为检测</w:t>
            </w:r>
          </w:p>
        </w:tc>
        <w:tc>
          <w:tcPr>
            <w:tcW w:w="6679" w:type="dxa"/>
          </w:tcPr>
          <w:p>
            <w:pPr>
              <w:widowControl/>
              <w:spacing w:line="276" w:lineRule="auto"/>
              <w:rPr>
                <w:kern w:val="0"/>
                <w:sz w:val="24"/>
                <w:szCs w:val="24"/>
              </w:rPr>
            </w:pPr>
            <w:r>
              <w:rPr>
                <w:kern w:val="0"/>
                <w:sz w:val="24"/>
                <w:szCs w:val="24"/>
              </w:rPr>
              <w:t>支持HTTP未知站点下载可执行文件、浏览最近30天注册域名、浏览恶意动态域名、访问随机算法生成域名、暴力破解攻击、反弹连接、IRC通信等僵尸网络行为检测。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Align w:val="center"/>
          </w:tcPr>
          <w:p>
            <w:pPr>
              <w:widowControl/>
              <w:spacing w:line="276" w:lineRule="auto"/>
              <w:rPr>
                <w:kern w:val="0"/>
                <w:sz w:val="24"/>
                <w:szCs w:val="24"/>
              </w:rPr>
            </w:pPr>
            <w:r>
              <w:rPr>
                <w:kern w:val="0"/>
                <w:sz w:val="24"/>
                <w:szCs w:val="24"/>
              </w:rPr>
              <w:t>审计白名单</w:t>
            </w:r>
          </w:p>
        </w:tc>
        <w:tc>
          <w:tcPr>
            <w:tcW w:w="6679" w:type="dxa"/>
          </w:tcPr>
          <w:p>
            <w:pPr>
              <w:widowControl/>
              <w:spacing w:line="276" w:lineRule="auto"/>
              <w:rPr>
                <w:kern w:val="0"/>
                <w:sz w:val="24"/>
                <w:szCs w:val="24"/>
              </w:rPr>
            </w:pPr>
            <w:r>
              <w:rPr>
                <w:kern w:val="0"/>
                <w:sz w:val="24"/>
                <w:szCs w:val="24"/>
              </w:rPr>
              <w:t>审计白名单支持源目IP、源目端口、日志类型和来源。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restart"/>
            <w:vAlign w:val="center"/>
          </w:tcPr>
          <w:p>
            <w:pPr>
              <w:widowControl/>
              <w:spacing w:line="276" w:lineRule="auto"/>
              <w:rPr>
                <w:kern w:val="0"/>
                <w:sz w:val="24"/>
                <w:szCs w:val="24"/>
              </w:rPr>
            </w:pPr>
            <w:r>
              <w:rPr>
                <w:kern w:val="0"/>
                <w:sz w:val="24"/>
                <w:szCs w:val="24"/>
              </w:rPr>
              <w:t>高级检测</w:t>
            </w:r>
          </w:p>
        </w:tc>
        <w:tc>
          <w:tcPr>
            <w:tcW w:w="6679" w:type="dxa"/>
          </w:tcPr>
          <w:p>
            <w:pPr>
              <w:widowControl/>
              <w:spacing w:line="276" w:lineRule="auto"/>
              <w:rPr>
                <w:kern w:val="0"/>
                <w:sz w:val="24"/>
                <w:szCs w:val="24"/>
              </w:rPr>
            </w:pPr>
            <w:r>
              <w:rPr>
                <w:kern w:val="0"/>
                <w:sz w:val="24"/>
                <w:szCs w:val="24"/>
              </w:rPr>
              <w:t>支持5种类型日志传输模式，包含标准模式、精简模式、高级模式、局域网模式、自定义模式，适应不同应用场景需求。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widowControl/>
              <w:spacing w:line="276" w:lineRule="auto"/>
              <w:rPr>
                <w:kern w:val="0"/>
                <w:sz w:val="24"/>
                <w:szCs w:val="24"/>
              </w:rPr>
            </w:pPr>
          </w:p>
        </w:tc>
        <w:tc>
          <w:tcPr>
            <w:tcW w:w="6679" w:type="dxa"/>
          </w:tcPr>
          <w:p>
            <w:pPr>
              <w:widowControl/>
              <w:spacing w:line="276" w:lineRule="auto"/>
              <w:rPr>
                <w:kern w:val="0"/>
                <w:sz w:val="24"/>
                <w:szCs w:val="24"/>
              </w:rPr>
            </w:pPr>
            <w:r>
              <w:rPr>
                <w:kern w:val="0"/>
                <w:sz w:val="24"/>
                <w:szCs w:val="24"/>
              </w:rPr>
              <w:t>支持传输安全检测日志，包括网络攻击检测日志、漏洞利用攻击检测日志、僵尸网络检测日志、业务弱点发现日志。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widowControl/>
              <w:spacing w:line="276" w:lineRule="auto"/>
              <w:rPr>
                <w:kern w:val="0"/>
                <w:sz w:val="24"/>
                <w:szCs w:val="24"/>
              </w:rPr>
            </w:pPr>
          </w:p>
        </w:tc>
        <w:tc>
          <w:tcPr>
            <w:tcW w:w="6679" w:type="dxa"/>
          </w:tcPr>
          <w:p>
            <w:pPr>
              <w:widowControl/>
              <w:spacing w:line="276" w:lineRule="auto"/>
              <w:rPr>
                <w:kern w:val="0"/>
                <w:sz w:val="24"/>
                <w:szCs w:val="24"/>
              </w:rPr>
            </w:pPr>
            <w:r>
              <w:rPr>
                <w:kern w:val="0"/>
                <w:sz w:val="24"/>
                <w:szCs w:val="24"/>
              </w:rPr>
              <w:t>支持传输访问检测日志，包括正常访问、风险访问和违规访问。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widowControl/>
              <w:spacing w:line="276" w:lineRule="auto"/>
              <w:rPr>
                <w:kern w:val="0"/>
                <w:sz w:val="24"/>
                <w:szCs w:val="24"/>
              </w:rPr>
            </w:pPr>
          </w:p>
        </w:tc>
        <w:tc>
          <w:tcPr>
            <w:tcW w:w="6679" w:type="dxa"/>
          </w:tcPr>
          <w:p>
            <w:pPr>
              <w:widowControl/>
              <w:spacing w:line="276" w:lineRule="auto"/>
              <w:rPr>
                <w:kern w:val="0"/>
                <w:sz w:val="24"/>
                <w:szCs w:val="24"/>
              </w:rPr>
            </w:pPr>
            <w:r>
              <w:rPr>
                <w:kern w:val="0"/>
                <w:sz w:val="24"/>
                <w:szCs w:val="24"/>
              </w:rPr>
              <w:t>支持传输协议审计日志，包括https、http、DNS、邮件协议、SMB、AD域、WEB登录、FTP、TELNET、ICMP、SNMP、SSL、sip、onvif、NFS、SOCKS、全流量元数据、数据库协议等审计日志。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Align w:val="center"/>
          </w:tcPr>
          <w:p>
            <w:pPr>
              <w:widowControl/>
              <w:spacing w:line="276" w:lineRule="auto"/>
              <w:rPr>
                <w:kern w:val="0"/>
                <w:sz w:val="24"/>
                <w:szCs w:val="24"/>
              </w:rPr>
            </w:pPr>
            <w:r>
              <w:rPr>
                <w:kern w:val="0"/>
                <w:sz w:val="24"/>
                <w:szCs w:val="24"/>
              </w:rPr>
              <w:t>抓包分析</w:t>
            </w:r>
          </w:p>
        </w:tc>
        <w:tc>
          <w:tcPr>
            <w:tcW w:w="6679" w:type="dxa"/>
            <w:vAlign w:val="center"/>
          </w:tcPr>
          <w:p>
            <w:pPr>
              <w:widowControl/>
              <w:spacing w:line="276" w:lineRule="auto"/>
              <w:rPr>
                <w:kern w:val="0"/>
                <w:sz w:val="24"/>
                <w:szCs w:val="24"/>
              </w:rPr>
            </w:pPr>
            <w:r>
              <w:rPr>
                <w:kern w:val="0"/>
                <w:sz w:val="24"/>
                <w:szCs w:val="24"/>
              </w:rPr>
              <w:t>支持流量抓包分析，可定义IP地址、端口、包大小阈值、包数量阈值。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restart"/>
            <w:vAlign w:val="center"/>
          </w:tcPr>
          <w:p>
            <w:pPr>
              <w:widowControl/>
              <w:spacing w:line="276" w:lineRule="auto"/>
              <w:rPr>
                <w:kern w:val="0"/>
                <w:sz w:val="24"/>
                <w:szCs w:val="24"/>
              </w:rPr>
            </w:pPr>
            <w:r>
              <w:rPr>
                <w:kern w:val="0"/>
                <w:sz w:val="24"/>
                <w:szCs w:val="24"/>
              </w:rPr>
              <w:t>管理功能</w:t>
            </w:r>
          </w:p>
        </w:tc>
        <w:tc>
          <w:tcPr>
            <w:tcW w:w="6679" w:type="dxa"/>
            <w:vAlign w:val="center"/>
          </w:tcPr>
          <w:p>
            <w:pPr>
              <w:widowControl/>
              <w:spacing w:line="276" w:lineRule="auto"/>
              <w:rPr>
                <w:kern w:val="0"/>
                <w:sz w:val="24"/>
                <w:szCs w:val="24"/>
              </w:rPr>
            </w:pPr>
            <w:r>
              <w:rPr>
                <w:kern w:val="0"/>
                <w:sz w:val="24"/>
                <w:szCs w:val="24"/>
              </w:rPr>
              <w:t>内置命令行管理窗口，便于进行基础运维调试。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Merge w:val="continue"/>
            <w:vAlign w:val="center"/>
          </w:tcPr>
          <w:p>
            <w:pPr>
              <w:widowControl/>
              <w:spacing w:line="276" w:lineRule="auto"/>
              <w:rPr>
                <w:kern w:val="0"/>
                <w:sz w:val="24"/>
                <w:szCs w:val="24"/>
              </w:rPr>
            </w:pPr>
          </w:p>
        </w:tc>
        <w:tc>
          <w:tcPr>
            <w:tcW w:w="6679" w:type="dxa"/>
            <w:vAlign w:val="center"/>
          </w:tcPr>
          <w:p>
            <w:pPr>
              <w:widowControl/>
              <w:spacing w:line="276" w:lineRule="auto"/>
              <w:rPr>
                <w:kern w:val="0"/>
                <w:sz w:val="24"/>
                <w:szCs w:val="24"/>
              </w:rPr>
            </w:pPr>
            <w:r>
              <w:rPr>
                <w:kern w:val="0"/>
                <w:sz w:val="24"/>
                <w:szCs w:val="24"/>
              </w:rPr>
              <w:t>可实时监控设备的CPU、内存、存储空间使用情况，以及监听接口的实时流量情况。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7" w:type="dxa"/>
            <w:vAlign w:val="center"/>
          </w:tcPr>
          <w:p>
            <w:pPr>
              <w:widowControl/>
              <w:spacing w:line="276" w:lineRule="auto"/>
              <w:rPr>
                <w:kern w:val="0"/>
                <w:sz w:val="24"/>
                <w:szCs w:val="24"/>
              </w:rPr>
            </w:pPr>
            <w:r>
              <w:rPr>
                <w:kern w:val="0"/>
                <w:sz w:val="24"/>
                <w:szCs w:val="24"/>
              </w:rPr>
              <w:t>部署</w:t>
            </w:r>
          </w:p>
        </w:tc>
        <w:tc>
          <w:tcPr>
            <w:tcW w:w="6679" w:type="dxa"/>
            <w:vAlign w:val="center"/>
          </w:tcPr>
          <w:p>
            <w:pPr>
              <w:widowControl/>
              <w:spacing w:line="276" w:lineRule="auto"/>
              <w:rPr>
                <w:kern w:val="0"/>
                <w:sz w:val="24"/>
                <w:szCs w:val="24"/>
              </w:rPr>
            </w:pPr>
            <w:r>
              <w:rPr>
                <w:kern w:val="0"/>
                <w:sz w:val="24"/>
                <w:szCs w:val="24"/>
              </w:rPr>
              <w:t>支持多台流量采集器同时部署于客户网络不同位置并将数据传输到同一套分析平台。</w:t>
            </w:r>
          </w:p>
        </w:tc>
      </w:tr>
    </w:tbl>
    <w:p>
      <w:pPr>
        <w:pStyle w:val="408"/>
        <w:spacing w:line="360" w:lineRule="auto"/>
        <w:ind w:firstLineChars="0"/>
        <w:outlineLvl w:val="1"/>
        <w:rPr>
          <w:b/>
          <w:bCs/>
          <w:sz w:val="24"/>
          <w:szCs w:val="24"/>
        </w:rPr>
      </w:pPr>
      <w:r>
        <w:rPr>
          <w:b/>
          <w:bCs/>
          <w:sz w:val="24"/>
          <w:szCs w:val="24"/>
        </w:rPr>
        <w:t>4、网页防篡改服务</w:t>
      </w:r>
    </w:p>
    <w:tbl>
      <w:tblPr>
        <w:tblStyle w:val="43"/>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1"/>
        <w:gridCol w:w="6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1" w:type="dxa"/>
            <w:shd w:val="clear" w:color="auto" w:fill="FFC000"/>
            <w:vAlign w:val="center"/>
          </w:tcPr>
          <w:p>
            <w:pPr>
              <w:widowControl/>
              <w:spacing w:line="276" w:lineRule="auto"/>
              <w:jc w:val="center"/>
              <w:rPr>
                <w:b/>
                <w:bCs/>
                <w:kern w:val="0"/>
                <w:sz w:val="24"/>
                <w:szCs w:val="24"/>
              </w:rPr>
            </w:pPr>
            <w:r>
              <w:rPr>
                <w:b/>
                <w:bCs/>
                <w:kern w:val="0"/>
                <w:sz w:val="24"/>
                <w:szCs w:val="24"/>
              </w:rPr>
              <w:t>技术指标</w:t>
            </w:r>
          </w:p>
        </w:tc>
        <w:tc>
          <w:tcPr>
            <w:tcW w:w="6449" w:type="dxa"/>
            <w:shd w:val="clear" w:color="auto" w:fill="FFC000"/>
            <w:vAlign w:val="center"/>
          </w:tcPr>
          <w:p>
            <w:pPr>
              <w:widowControl/>
              <w:spacing w:line="276" w:lineRule="auto"/>
              <w:jc w:val="center"/>
              <w:rPr>
                <w:b/>
                <w:bCs/>
                <w:kern w:val="0"/>
                <w:sz w:val="24"/>
                <w:szCs w:val="24"/>
              </w:rPr>
            </w:pPr>
            <w:r>
              <w:rPr>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1" w:type="dxa"/>
            <w:vAlign w:val="center"/>
          </w:tcPr>
          <w:p>
            <w:pPr>
              <w:widowControl/>
              <w:spacing w:line="276" w:lineRule="auto"/>
              <w:rPr>
                <w:kern w:val="0"/>
                <w:sz w:val="24"/>
                <w:szCs w:val="24"/>
              </w:rPr>
            </w:pPr>
            <w:r>
              <w:rPr>
                <w:rFonts w:hint="eastAsia"/>
                <w:kern w:val="0"/>
                <w:sz w:val="24"/>
                <w:szCs w:val="24"/>
              </w:rPr>
              <w:t>数量要求</w:t>
            </w:r>
          </w:p>
        </w:tc>
        <w:tc>
          <w:tcPr>
            <w:tcW w:w="6449" w:type="dxa"/>
            <w:vAlign w:val="center"/>
          </w:tcPr>
          <w:p>
            <w:pPr>
              <w:widowControl/>
              <w:spacing w:line="276" w:lineRule="auto"/>
              <w:rPr>
                <w:rFonts w:hint="eastAsia"/>
                <w:kern w:val="0"/>
                <w:sz w:val="24"/>
                <w:szCs w:val="24"/>
              </w:rPr>
            </w:pPr>
            <w:r>
              <w:rPr>
                <w:rFonts w:hint="eastAsia"/>
                <w:kern w:val="0"/>
                <w:sz w:val="24"/>
                <w:szCs w:val="24"/>
              </w:rPr>
              <w:t>本次要求支持防护目录数≥2</w:t>
            </w:r>
            <w:r>
              <w:rPr>
                <w:kern w:val="0"/>
                <w:sz w:val="24"/>
                <w:szCs w:val="24"/>
              </w:rPr>
              <w:t>0</w:t>
            </w:r>
            <w:r>
              <w:rPr>
                <w:rFonts w:hint="eastAsia"/>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31" w:type="dxa"/>
            <w:vMerge w:val="restart"/>
          </w:tcPr>
          <w:p>
            <w:pPr>
              <w:widowControl/>
              <w:spacing w:line="276" w:lineRule="auto"/>
              <w:rPr>
                <w:kern w:val="0"/>
                <w:sz w:val="24"/>
                <w:szCs w:val="24"/>
              </w:rPr>
            </w:pPr>
            <w:r>
              <w:rPr>
                <w:kern w:val="0"/>
                <w:sz w:val="24"/>
                <w:szCs w:val="24"/>
              </w:rPr>
              <w:t>网站防护与恢复</w:t>
            </w:r>
          </w:p>
        </w:tc>
        <w:tc>
          <w:tcPr>
            <w:tcW w:w="6449" w:type="dxa"/>
          </w:tcPr>
          <w:p>
            <w:pPr>
              <w:widowControl/>
              <w:spacing w:line="276" w:lineRule="auto"/>
              <w:rPr>
                <w:kern w:val="0"/>
                <w:sz w:val="24"/>
                <w:szCs w:val="24"/>
              </w:rPr>
            </w:pPr>
            <w:r>
              <w:rPr>
                <w:kern w:val="0"/>
                <w:sz w:val="24"/>
                <w:szCs w:val="24"/>
              </w:rPr>
              <w:t>支持国产化银河麒麟V10、中标麒麟V7操作系统网站，以及Windows、linux等主流操作系统网站防篡改；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支持采用基于文件过滤驱动保护技术、事件触发机制相结合方式的网页防篡改功能；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支持各类网页文件的保护，包括静态和动态网页以及各类文件信息；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支持防护模式和监控模式两种模式的防篡改模式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支持Ipv4/IPv6网络环境下部署管理防篡改；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支持对指定文件夹以及子文件夹的保护，避免上传非法文件及木马等恶意文件或插入恶意代码；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支持在断线情况下对网页文件目录的防护功能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支持服务器网站异常检测(linux与windows双平台)，检测防护端所在服务器网站进程是否正常或存在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支持网页防篡改支持增加策略生效时间控制，可在防护端设置防篡改功能的启用与停用的时间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支持运行日志定时清除(Windows平台)，避免日志文件过大导致系统问题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支持防护端与管理中心连接监控功能(Windows平台)，发现连接异常则对防护端进行重启，并记录重启动作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支持IIS、Weblogic、Websphere、Apache、Tomcat等Web服务器；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支持超过40GB以上网页防篡改保护和恢复功能，以适应医院业务发展需要；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支持大规模连续篡改攻击防护；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631" w:type="dxa"/>
            <w:vMerge w:val="restart"/>
          </w:tcPr>
          <w:p>
            <w:pPr>
              <w:widowControl/>
              <w:spacing w:line="276" w:lineRule="auto"/>
              <w:rPr>
                <w:kern w:val="0"/>
                <w:sz w:val="24"/>
                <w:szCs w:val="24"/>
              </w:rPr>
            </w:pPr>
            <w:r>
              <w:rPr>
                <w:kern w:val="0"/>
                <w:sz w:val="24"/>
                <w:szCs w:val="24"/>
              </w:rPr>
              <w:t>日志系统</w:t>
            </w:r>
          </w:p>
        </w:tc>
        <w:tc>
          <w:tcPr>
            <w:tcW w:w="6449" w:type="dxa"/>
          </w:tcPr>
          <w:p>
            <w:pPr>
              <w:widowControl/>
              <w:spacing w:line="276" w:lineRule="auto"/>
              <w:rPr>
                <w:kern w:val="0"/>
                <w:sz w:val="24"/>
                <w:szCs w:val="24"/>
              </w:rPr>
            </w:pPr>
            <w:r>
              <w:rPr>
                <w:kern w:val="0"/>
                <w:sz w:val="24"/>
                <w:szCs w:val="24"/>
              </w:rPr>
              <w:t>支持对与系统自身安全相关的下列事件产生审计记录：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支持对管理角色进行增加、删除和属性修改等操作行为；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支持对网页篡改、添加、删除进行日志记录，并针对文件、进程、攻击类型进行详细记录；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31" w:type="dxa"/>
            <w:vMerge w:val="continue"/>
          </w:tcPr>
          <w:p>
            <w:pPr>
              <w:widowControl/>
              <w:spacing w:line="276" w:lineRule="auto"/>
              <w:rPr>
                <w:kern w:val="0"/>
                <w:sz w:val="24"/>
                <w:szCs w:val="24"/>
              </w:rPr>
            </w:pPr>
          </w:p>
        </w:tc>
        <w:tc>
          <w:tcPr>
            <w:tcW w:w="6449" w:type="dxa"/>
          </w:tcPr>
          <w:p>
            <w:pPr>
              <w:widowControl/>
              <w:spacing w:line="276" w:lineRule="auto"/>
              <w:rPr>
                <w:kern w:val="0"/>
                <w:sz w:val="24"/>
                <w:szCs w:val="24"/>
              </w:rPr>
            </w:pPr>
            <w:r>
              <w:rPr>
                <w:kern w:val="0"/>
                <w:sz w:val="24"/>
                <w:szCs w:val="24"/>
              </w:rPr>
              <w:t>支持针对时间、主机名文件、进程、攻击类型等进行日志筛选查询；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31" w:type="dxa"/>
          </w:tcPr>
          <w:p>
            <w:pPr>
              <w:widowControl/>
              <w:spacing w:line="276" w:lineRule="auto"/>
              <w:rPr>
                <w:kern w:val="0"/>
                <w:sz w:val="24"/>
                <w:szCs w:val="24"/>
              </w:rPr>
            </w:pPr>
            <w:r>
              <w:rPr>
                <w:kern w:val="0"/>
                <w:sz w:val="24"/>
                <w:szCs w:val="24"/>
              </w:rPr>
              <w:t>集中监控</w:t>
            </w:r>
          </w:p>
        </w:tc>
        <w:tc>
          <w:tcPr>
            <w:tcW w:w="6449" w:type="dxa"/>
          </w:tcPr>
          <w:p>
            <w:pPr>
              <w:widowControl/>
              <w:spacing w:line="276" w:lineRule="auto"/>
              <w:rPr>
                <w:kern w:val="0"/>
                <w:sz w:val="24"/>
                <w:szCs w:val="24"/>
              </w:rPr>
            </w:pPr>
            <w:r>
              <w:rPr>
                <w:kern w:val="0"/>
                <w:sz w:val="24"/>
                <w:szCs w:val="24"/>
              </w:rPr>
              <w:t>支持防篡改管理中心通过统一的管理中心进行远程管理、策略下发和日志收集</w:t>
            </w:r>
          </w:p>
        </w:tc>
      </w:tr>
    </w:tbl>
    <w:p>
      <w:pPr>
        <w:pStyle w:val="408"/>
        <w:spacing w:line="360" w:lineRule="auto"/>
        <w:ind w:firstLineChars="0"/>
        <w:outlineLvl w:val="1"/>
        <w:rPr>
          <w:b/>
          <w:bCs/>
          <w:sz w:val="24"/>
          <w:szCs w:val="24"/>
        </w:rPr>
      </w:pPr>
      <w:r>
        <w:rPr>
          <w:b/>
          <w:bCs/>
          <w:sz w:val="24"/>
          <w:szCs w:val="24"/>
        </w:rPr>
        <w:t>5、EDR主机安全服务</w:t>
      </w:r>
    </w:p>
    <w:tbl>
      <w:tblPr>
        <w:tblStyle w:val="42"/>
        <w:tblW w:w="4681" w:type="pct"/>
        <w:tblInd w:w="137" w:type="dxa"/>
        <w:tblLayout w:type="autofit"/>
        <w:tblCellMar>
          <w:top w:w="0" w:type="dxa"/>
          <w:left w:w="108" w:type="dxa"/>
          <w:bottom w:w="0" w:type="dxa"/>
          <w:right w:w="108" w:type="dxa"/>
        </w:tblCellMar>
      </w:tblPr>
      <w:tblGrid>
        <w:gridCol w:w="1290"/>
        <w:gridCol w:w="7001"/>
      </w:tblGrid>
      <w:tr>
        <w:tblPrEx>
          <w:tblCellMar>
            <w:top w:w="0" w:type="dxa"/>
            <w:left w:w="108" w:type="dxa"/>
            <w:bottom w:w="0" w:type="dxa"/>
            <w:right w:w="108" w:type="dxa"/>
          </w:tblCellMar>
        </w:tblPrEx>
        <w:trPr>
          <w:trHeight w:val="520" w:hRule="atLeast"/>
        </w:trPr>
        <w:tc>
          <w:tcPr>
            <w:tcW w:w="778" w:type="pct"/>
            <w:tcBorders>
              <w:top w:val="single" w:color="000000" w:sz="4" w:space="0"/>
              <w:left w:val="single" w:color="000000" w:sz="4" w:space="0"/>
              <w:bottom w:val="single" w:color="000000" w:sz="4" w:space="0"/>
              <w:right w:val="single" w:color="000000" w:sz="4" w:space="0"/>
            </w:tcBorders>
            <w:shd w:val="clear" w:color="auto" w:fill="FFC000"/>
            <w:vAlign w:val="center"/>
          </w:tcPr>
          <w:p>
            <w:pPr>
              <w:pStyle w:val="242"/>
              <w:spacing w:line="300" w:lineRule="auto"/>
              <w:ind w:firstLine="0" w:firstLineChars="0"/>
              <w:jc w:val="center"/>
              <w:rPr>
                <w:rFonts w:ascii="Times New Roman" w:hAnsi="Times New Roman"/>
                <w:b/>
                <w:bCs/>
              </w:rPr>
            </w:pPr>
            <w:r>
              <w:rPr>
                <w:rFonts w:hint="eastAsia" w:ascii="Times New Roman" w:hAnsi="Times New Roman"/>
                <w:b/>
                <w:bCs/>
              </w:rPr>
              <w:t>技术指标</w:t>
            </w:r>
          </w:p>
        </w:tc>
        <w:tc>
          <w:tcPr>
            <w:tcW w:w="4222" w:type="pct"/>
            <w:tcBorders>
              <w:top w:val="single" w:color="000000" w:sz="4" w:space="0"/>
              <w:left w:val="single" w:color="000000" w:sz="4" w:space="0"/>
              <w:bottom w:val="single" w:color="000000" w:sz="4" w:space="0"/>
              <w:right w:val="single" w:color="000000" w:sz="4" w:space="0"/>
            </w:tcBorders>
            <w:shd w:val="clear" w:color="auto" w:fill="FFC000"/>
            <w:vAlign w:val="center"/>
          </w:tcPr>
          <w:p>
            <w:pPr>
              <w:pStyle w:val="242"/>
              <w:spacing w:line="300" w:lineRule="auto"/>
              <w:ind w:firstLine="0" w:firstLineChars="0"/>
              <w:jc w:val="center"/>
              <w:rPr>
                <w:rFonts w:ascii="Times New Roman" w:hAnsi="Times New Roman"/>
                <w:b/>
                <w:bCs/>
              </w:rPr>
            </w:pPr>
            <w:r>
              <w:rPr>
                <w:rFonts w:hint="eastAsia" w:ascii="Times New Roman" w:hAnsi="Times New Roman"/>
                <w:b/>
                <w:bCs/>
              </w:rPr>
              <w:t>指标要求</w:t>
            </w:r>
          </w:p>
        </w:tc>
      </w:tr>
      <w:tr>
        <w:tblPrEx>
          <w:tblCellMar>
            <w:top w:w="0" w:type="dxa"/>
            <w:left w:w="108" w:type="dxa"/>
            <w:bottom w:w="0" w:type="dxa"/>
            <w:right w:w="108" w:type="dxa"/>
          </w:tblCellMar>
        </w:tblPrEx>
        <w:trPr>
          <w:trHeight w:val="90" w:hRule="atLeast"/>
        </w:trPr>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hint="eastAsia" w:ascii="Times New Roman" w:hAnsi="Times New Roman"/>
              </w:rPr>
            </w:pPr>
            <w:r>
              <w:rPr>
                <w:rFonts w:hint="eastAsia" w:ascii="Times New Roman" w:hAnsi="Times New Roman"/>
              </w:rPr>
              <w:t>数量要求</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hint="eastAsia" w:ascii="Times New Roman" w:hAnsi="Times New Roman"/>
              </w:rPr>
            </w:pPr>
            <w:r>
              <w:rPr>
                <w:rFonts w:hint="eastAsia" w:ascii="Times New Roman" w:hAnsi="Times New Roman"/>
              </w:rPr>
              <w:t>本次要求提供3</w:t>
            </w:r>
            <w:r>
              <w:rPr>
                <w:rFonts w:ascii="Times New Roman" w:hAnsi="Times New Roman"/>
              </w:rPr>
              <w:t>60</w:t>
            </w:r>
            <w:r>
              <w:rPr>
                <w:rFonts w:hint="eastAsia" w:ascii="Times New Roman" w:hAnsi="Times New Roman"/>
              </w:rPr>
              <w:t>个服务器端授权</w:t>
            </w:r>
          </w:p>
        </w:tc>
      </w:tr>
      <w:tr>
        <w:tblPrEx>
          <w:tblCellMar>
            <w:top w:w="0" w:type="dxa"/>
            <w:left w:w="108" w:type="dxa"/>
            <w:bottom w:w="0" w:type="dxa"/>
            <w:right w:w="108" w:type="dxa"/>
          </w:tblCellMar>
        </w:tblPrEx>
        <w:trPr>
          <w:trHeight w:val="90" w:hRule="atLeast"/>
        </w:trPr>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产品形态</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产品可以纯软件交付，包含管理控制中心软件及终端客户端软件，其中管理控制中心可云化部署；同时也支持硬件管理平台交付</w:t>
            </w:r>
          </w:p>
        </w:tc>
      </w:tr>
      <w:tr>
        <w:tblPrEx>
          <w:tblCellMar>
            <w:top w:w="0" w:type="dxa"/>
            <w:left w:w="108" w:type="dxa"/>
            <w:bottom w:w="0" w:type="dxa"/>
            <w:right w:w="108" w:type="dxa"/>
          </w:tblCellMar>
        </w:tblPrEx>
        <w:trPr>
          <w:trHeight w:val="520" w:hRule="atLeast"/>
        </w:trPr>
        <w:tc>
          <w:tcPr>
            <w:tcW w:w="7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多维度威胁展示</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支持全网风险展示，包括但不限于未处理的勒索病毒数量、高级威胁、暴力破解、僵尸网络、WebShell后门、高危漏洞及其各自影响的终端数量</w:t>
            </w:r>
          </w:p>
        </w:tc>
      </w:tr>
      <w:tr>
        <w:tblPrEx>
          <w:tblCellMar>
            <w:top w:w="0" w:type="dxa"/>
            <w:left w:w="108" w:type="dxa"/>
            <w:bottom w:w="0" w:type="dxa"/>
            <w:right w:w="108" w:type="dxa"/>
          </w:tblCellMar>
        </w:tblPrEx>
        <w:trPr>
          <w:trHeight w:val="530" w:hRule="atLeast"/>
        </w:trPr>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 xml:space="preserve">提供勒索病毒整体防护体系入口，直观展示最近七天勒索病毒防护效果，包括已处置的勒索病毒数量、已阻止的勒索病毒行为次数、已阻止的未知进程操作次数、已阻止的暴力破解攻击次数 </w:t>
            </w:r>
          </w:p>
        </w:tc>
      </w:tr>
      <w:tr>
        <w:tblPrEx>
          <w:tblCellMar>
            <w:top w:w="0" w:type="dxa"/>
            <w:left w:w="108" w:type="dxa"/>
            <w:bottom w:w="0" w:type="dxa"/>
            <w:right w:w="108" w:type="dxa"/>
          </w:tblCellMar>
        </w:tblPrEx>
        <w:trPr>
          <w:trHeight w:val="520" w:hRule="atLeast"/>
        </w:trPr>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云端威胁分析</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支持跳转链接至云端威胁情报中心，针对已发生的威胁提供详细的分析结果，包含威胁分析、网络行为、静态分析、分析环境和影响分析。</w:t>
            </w:r>
          </w:p>
        </w:tc>
      </w:tr>
      <w:tr>
        <w:tblPrEx>
          <w:tblCellMar>
            <w:top w:w="0" w:type="dxa"/>
            <w:left w:w="108" w:type="dxa"/>
            <w:bottom w:w="0" w:type="dxa"/>
            <w:right w:w="108" w:type="dxa"/>
          </w:tblCellMar>
        </w:tblPrEx>
        <w:trPr>
          <w:trHeight w:val="260" w:hRule="atLeast"/>
        </w:trPr>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自动分组</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支持终端自动分组管理，新接入的终端可以根据网段自动分配到对应的分组</w:t>
            </w:r>
          </w:p>
        </w:tc>
      </w:tr>
      <w:tr>
        <w:tblPrEx>
          <w:tblCellMar>
            <w:top w:w="0" w:type="dxa"/>
            <w:left w:w="108" w:type="dxa"/>
            <w:bottom w:w="0" w:type="dxa"/>
            <w:right w:w="108" w:type="dxa"/>
          </w:tblCellMar>
        </w:tblPrEx>
        <w:trPr>
          <w:trHeight w:val="520" w:hRule="atLeast"/>
        </w:trPr>
        <w:tc>
          <w:tcPr>
            <w:tcW w:w="7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资产管理</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支持全网视角的终端资产统一清点，便于帮助用户快速发现风险面。清点信息包括操作系统、应用软件、监听端口和终端账户。</w:t>
            </w:r>
          </w:p>
        </w:tc>
      </w:tr>
      <w:tr>
        <w:tblPrEx>
          <w:tblCellMar>
            <w:top w:w="0" w:type="dxa"/>
            <w:left w:w="108" w:type="dxa"/>
            <w:bottom w:w="0" w:type="dxa"/>
            <w:right w:w="108" w:type="dxa"/>
          </w:tblCellMar>
        </w:tblPrEx>
        <w:trPr>
          <w:trHeight w:val="260" w:hRule="atLeast"/>
        </w:trPr>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支持对单个终端运行状态的监控，包括但不限于进程、服务、网络连接、计划任务和开放共享信息</w:t>
            </w:r>
          </w:p>
        </w:tc>
      </w:tr>
      <w:tr>
        <w:tblPrEx>
          <w:tblCellMar>
            <w:top w:w="0" w:type="dxa"/>
            <w:left w:w="108" w:type="dxa"/>
            <w:bottom w:w="0" w:type="dxa"/>
            <w:right w:w="108" w:type="dxa"/>
          </w:tblCellMar>
        </w:tblPrEx>
        <w:trPr>
          <w:trHeight w:val="530" w:hRule="atLeast"/>
        </w:trPr>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tcPr>
          <w:p>
            <w:pPr>
              <w:pStyle w:val="242"/>
              <w:spacing w:line="300" w:lineRule="auto"/>
              <w:ind w:firstLine="0" w:firstLineChars="0"/>
              <w:rPr>
                <w:rFonts w:ascii="Times New Roman" w:hAnsi="Times New Roman"/>
              </w:rPr>
            </w:pPr>
            <w:r>
              <w:rPr>
                <w:rFonts w:ascii="Times New Roman" w:hAnsi="Times New Roman"/>
              </w:rPr>
              <w:t>支持对系统账号信息进行梳理，了解账号权限分布概况以及风险账号分布情况，支持统计最近一年未修改密码的账户</w:t>
            </w:r>
          </w:p>
        </w:tc>
      </w:tr>
      <w:tr>
        <w:tblPrEx>
          <w:tblCellMar>
            <w:top w:w="0" w:type="dxa"/>
            <w:left w:w="108" w:type="dxa"/>
            <w:bottom w:w="0" w:type="dxa"/>
            <w:right w:w="108" w:type="dxa"/>
          </w:tblCellMar>
        </w:tblPrEx>
        <w:trPr>
          <w:trHeight w:val="520" w:hRule="atLeast"/>
        </w:trPr>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管理员管理</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支持配置不同的权限角色，支持超级管理员、普通管理员（管理）、审计管理员（查看）三种权限，并配置可管辖的终端范围，支持管理员账号限制IP登录；支持管理员账号采用双因素认证</w:t>
            </w:r>
          </w:p>
        </w:tc>
      </w:tr>
      <w:tr>
        <w:tblPrEx>
          <w:tblCellMar>
            <w:top w:w="0" w:type="dxa"/>
            <w:left w:w="108" w:type="dxa"/>
            <w:bottom w:w="0" w:type="dxa"/>
            <w:right w:w="108" w:type="dxa"/>
          </w:tblCellMar>
        </w:tblPrEx>
        <w:trPr>
          <w:trHeight w:val="270" w:hRule="atLeast"/>
        </w:trPr>
        <w:tc>
          <w:tcPr>
            <w:tcW w:w="7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威胁检测</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通过智能识别终端环境情况（低配硬件、老旧设备、虚拟化等）和当前终端资源占用，在闲时实时监控和病毒扫描场景，都可智能调整EDR的资源占用（CPU、IO等），为业务让出资源。</w:t>
            </w:r>
          </w:p>
        </w:tc>
      </w:tr>
      <w:tr>
        <w:tblPrEx>
          <w:tblCellMar>
            <w:top w:w="0" w:type="dxa"/>
            <w:left w:w="108" w:type="dxa"/>
            <w:bottom w:w="0" w:type="dxa"/>
            <w:right w:w="108" w:type="dxa"/>
          </w:tblCellMar>
        </w:tblPrEx>
        <w:trPr>
          <w:trHeight w:val="780" w:hRule="atLeast"/>
        </w:trPr>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具备针对最新未知的文件，使用IOC特征（文件hash、dns、url、ip等）的技术，进行云端查询。</w:t>
            </w:r>
          </w:p>
        </w:tc>
      </w:tr>
      <w:tr>
        <w:tblPrEx>
          <w:tblCellMar>
            <w:top w:w="0" w:type="dxa"/>
            <w:left w:w="108" w:type="dxa"/>
            <w:bottom w:w="0" w:type="dxa"/>
            <w:right w:w="108" w:type="dxa"/>
          </w:tblCellMar>
        </w:tblPrEx>
        <w:trPr>
          <w:trHeight w:val="520" w:hRule="atLeast"/>
        </w:trPr>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支持一键云鉴定服务，提供云端专家+沙箱+多引擎鉴定能力，结合云端威胁情报对已告警的威胁文件再次进行综合研判并给出100%黑白结果，用户可自助对管理平台告警的威胁快速判断是否误报和了解威胁详情。</w:t>
            </w:r>
          </w:p>
        </w:tc>
      </w:tr>
      <w:tr>
        <w:tblPrEx>
          <w:tblCellMar>
            <w:top w:w="0" w:type="dxa"/>
            <w:left w:w="108" w:type="dxa"/>
            <w:bottom w:w="0" w:type="dxa"/>
            <w:right w:w="108" w:type="dxa"/>
          </w:tblCellMar>
        </w:tblPrEx>
        <w:trPr>
          <w:trHeight w:val="520" w:hRule="atLeast"/>
        </w:trPr>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文件实时监控</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可实时监控文件的状态，在文件读、写、执行或者进入主机时主动进行扫描，支持根据用户性能偏好设置高、中、低3种防护级别</w:t>
            </w:r>
          </w:p>
        </w:tc>
      </w:tr>
      <w:tr>
        <w:tblPrEx>
          <w:tblCellMar>
            <w:top w:w="0" w:type="dxa"/>
            <w:left w:w="108" w:type="dxa"/>
            <w:bottom w:w="0" w:type="dxa"/>
            <w:right w:w="108" w:type="dxa"/>
          </w:tblCellMar>
        </w:tblPrEx>
        <w:trPr>
          <w:trHeight w:val="530" w:hRule="atLeast"/>
        </w:trPr>
        <w:tc>
          <w:tcPr>
            <w:tcW w:w="778" w:type="pct"/>
            <w:vMerge w:val="restart"/>
            <w:tcBorders>
              <w:top w:val="single" w:color="000000" w:sz="4" w:space="0"/>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Windows服务器加固</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提供基于可信鉴定方式的进程防护方式，通过人工智能自学习机制，自动建立信任进程名单，阻断非可信进程的运行并提供配置指引，同时支持通过模板和手动的方式添加信任进程</w:t>
            </w:r>
          </w:p>
        </w:tc>
      </w:tr>
      <w:tr>
        <w:tblPrEx>
          <w:tblCellMar>
            <w:top w:w="0" w:type="dxa"/>
            <w:left w:w="108" w:type="dxa"/>
            <w:bottom w:w="0" w:type="dxa"/>
            <w:right w:w="108" w:type="dxa"/>
          </w:tblCellMar>
        </w:tblPrEx>
        <w:trPr>
          <w:trHeight w:val="530" w:hRule="atLeast"/>
        </w:trPr>
        <w:tc>
          <w:tcPr>
            <w:tcW w:w="778" w:type="pct"/>
            <w:vMerge w:val="continue"/>
            <w:tcBorders>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支持windows服务器RDP远程登录保护，可开启RDP远程登录二次认证，以防止黑客对服务器的入侵</w:t>
            </w:r>
          </w:p>
        </w:tc>
      </w:tr>
      <w:tr>
        <w:tblPrEx>
          <w:tblCellMar>
            <w:top w:w="0" w:type="dxa"/>
            <w:left w:w="108" w:type="dxa"/>
            <w:bottom w:w="0" w:type="dxa"/>
            <w:right w:w="108" w:type="dxa"/>
          </w:tblCellMar>
        </w:tblPrEx>
        <w:trPr>
          <w:trHeight w:val="530" w:hRule="atLeast"/>
        </w:trPr>
        <w:tc>
          <w:tcPr>
            <w:tcW w:w="778" w:type="pct"/>
            <w:vMerge w:val="restart"/>
            <w:tcBorders>
              <w:top w:val="single" w:color="000000" w:sz="4" w:space="0"/>
              <w:left w:val="single" w:color="000000" w:sz="4" w:space="0"/>
              <w:right w:val="single" w:color="000000" w:sz="4" w:space="0"/>
            </w:tcBorders>
            <w:shd w:val="clear" w:color="auto" w:fill="auto"/>
            <w:vAlign w:val="center"/>
          </w:tcPr>
          <w:p>
            <w:pPr>
              <w:pStyle w:val="242"/>
              <w:spacing w:line="300" w:lineRule="auto"/>
              <w:ind w:firstLine="0" w:firstLineChars="0"/>
              <w:rPr>
                <w:rFonts w:hint="eastAsia" w:ascii="Times New Roman" w:hAnsi="Times New Roman"/>
              </w:rPr>
            </w:pPr>
            <w:r>
              <w:rPr>
                <w:rFonts w:ascii="Times New Roman" w:hAnsi="Times New Roman"/>
              </w:rPr>
              <w:t>勒索病毒</w:t>
            </w:r>
            <w:r>
              <w:rPr>
                <w:rFonts w:hint="eastAsia" w:ascii="Times New Roman" w:hAnsi="Times New Roman"/>
              </w:rPr>
              <w:t>专项防护</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基于勒索病毒攻击过程，建立多维度立体防护机制，提供事前入侵防御-事中反加密-事后检测响应的完整防护体系，展示勒索病毒处置情况，对勒索病毒及变种实现专门有效防御</w:t>
            </w:r>
          </w:p>
        </w:tc>
      </w:tr>
      <w:tr>
        <w:tblPrEx>
          <w:tblCellMar>
            <w:top w:w="0" w:type="dxa"/>
            <w:left w:w="108" w:type="dxa"/>
            <w:bottom w:w="0" w:type="dxa"/>
            <w:right w:w="108" w:type="dxa"/>
          </w:tblCellMar>
        </w:tblPrEx>
        <w:trPr>
          <w:trHeight w:val="260" w:hRule="atLeast"/>
        </w:trPr>
        <w:tc>
          <w:tcPr>
            <w:tcW w:w="778" w:type="pct"/>
            <w:vMerge w:val="continue"/>
            <w:tcBorders>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支持监控诱饵文件，诱饵文件可被实时监控，当勒索病毒对该文件进行修改或加密操作时进行拦截</w:t>
            </w:r>
          </w:p>
        </w:tc>
      </w:tr>
      <w:tr>
        <w:tblPrEx>
          <w:tblCellMar>
            <w:top w:w="0" w:type="dxa"/>
            <w:left w:w="108" w:type="dxa"/>
            <w:bottom w:w="0" w:type="dxa"/>
            <w:right w:w="108" w:type="dxa"/>
          </w:tblCellMar>
        </w:tblPrEx>
        <w:trPr>
          <w:trHeight w:val="520" w:hRule="atLeast"/>
        </w:trPr>
        <w:tc>
          <w:tcPr>
            <w:tcW w:w="778" w:type="pct"/>
            <w:vMerge w:val="continue"/>
            <w:tcBorders>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支持用户直接对勒索病毒的家族名、病毒名、加密文件后缀名执行链接查询，可通过直接上传加密文件的方式确定勒索病毒类型，如果能解密可以提供必要的解密工具</w:t>
            </w:r>
          </w:p>
        </w:tc>
      </w:tr>
      <w:tr>
        <w:tblPrEx>
          <w:tblCellMar>
            <w:top w:w="0" w:type="dxa"/>
            <w:left w:w="108" w:type="dxa"/>
            <w:bottom w:w="0" w:type="dxa"/>
            <w:right w:w="108" w:type="dxa"/>
          </w:tblCellMar>
        </w:tblPrEx>
        <w:trPr>
          <w:trHeight w:val="520" w:hRule="atLeast"/>
        </w:trPr>
        <w:tc>
          <w:tcPr>
            <w:tcW w:w="778" w:type="pct"/>
            <w:vMerge w:val="continue"/>
            <w:tcBorders>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支持对勒索入侵的主流方式RDP暴破做全方位保护，包括RDP登录校验、RDP文件加白二次校验等功能</w:t>
            </w:r>
          </w:p>
        </w:tc>
      </w:tr>
      <w:tr>
        <w:tblPrEx>
          <w:tblCellMar>
            <w:top w:w="0" w:type="dxa"/>
            <w:left w:w="108" w:type="dxa"/>
            <w:bottom w:w="0" w:type="dxa"/>
            <w:right w:w="108" w:type="dxa"/>
          </w:tblCellMar>
        </w:tblPrEx>
        <w:trPr>
          <w:trHeight w:val="520" w:hRule="atLeast"/>
        </w:trPr>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暴力破解检测</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统计单个攻击源及分布式攻击源的暴力破解检测，支持按照RDP、SMB和SSH类型进行封堵并自定义爆破阈值，可对封停时间进行自设置</w:t>
            </w:r>
          </w:p>
        </w:tc>
      </w:tr>
      <w:tr>
        <w:tblPrEx>
          <w:tblCellMar>
            <w:top w:w="0" w:type="dxa"/>
            <w:left w:w="108" w:type="dxa"/>
            <w:bottom w:w="0" w:type="dxa"/>
            <w:right w:w="108" w:type="dxa"/>
          </w:tblCellMar>
        </w:tblPrEx>
        <w:trPr>
          <w:trHeight w:val="520" w:hRule="atLeast"/>
        </w:trPr>
        <w:tc>
          <w:tcPr>
            <w:tcW w:w="778" w:type="pct"/>
            <w:vMerge w:val="restart"/>
            <w:tcBorders>
              <w:top w:val="single" w:color="000000" w:sz="4" w:space="0"/>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终端合规检查</w:t>
            </w:r>
          </w:p>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一键式操作对指定Windows终端/终端组进行合规性检查，包括身份鉴别、访问控制、安全审计、剩余信息保护、入侵防范、恶意代码防范，对不合规的检查项提供设置建议，并可视化展示终端的基线合规检查结果</w:t>
            </w:r>
          </w:p>
        </w:tc>
      </w:tr>
      <w:tr>
        <w:tblPrEx>
          <w:tblCellMar>
            <w:top w:w="0" w:type="dxa"/>
            <w:left w:w="108" w:type="dxa"/>
            <w:bottom w:w="0" w:type="dxa"/>
            <w:right w:w="108" w:type="dxa"/>
          </w:tblCellMar>
        </w:tblPrEx>
        <w:trPr>
          <w:trHeight w:val="520" w:hRule="atLeast"/>
        </w:trPr>
        <w:tc>
          <w:tcPr>
            <w:tcW w:w="778" w:type="pct"/>
            <w:vMerge w:val="continue"/>
            <w:tcBorders>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一键式操作对指定Linux终端/终端组进行合规性检查，包括身份鉴别、访问控制、安全审计、SSH策略检测、入侵防范、恶意代码防范，对不合规的检查项提供设置建议，并可视化展示终端的基线合规检查结果</w:t>
            </w:r>
          </w:p>
        </w:tc>
      </w:tr>
      <w:tr>
        <w:tblPrEx>
          <w:tblCellMar>
            <w:top w:w="0" w:type="dxa"/>
            <w:left w:w="108" w:type="dxa"/>
            <w:bottom w:w="0" w:type="dxa"/>
            <w:right w:w="108" w:type="dxa"/>
          </w:tblCellMar>
        </w:tblPrEx>
        <w:trPr>
          <w:trHeight w:val="520" w:hRule="atLeast"/>
        </w:trPr>
        <w:tc>
          <w:tcPr>
            <w:tcW w:w="7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威胁处置</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构建全网文件信誉库，当一台终端发现某一病毒文件，全网可进行感知并进行针对性查杀，支持处置病毒时选择是否在其它终端上同步处置</w:t>
            </w:r>
          </w:p>
        </w:tc>
      </w:tr>
      <w:tr>
        <w:tblPrEx>
          <w:tblCellMar>
            <w:top w:w="0" w:type="dxa"/>
            <w:left w:w="108" w:type="dxa"/>
            <w:bottom w:w="0" w:type="dxa"/>
            <w:right w:w="108" w:type="dxa"/>
          </w:tblCellMar>
        </w:tblPrEx>
        <w:trPr>
          <w:trHeight w:val="270" w:hRule="atLeast"/>
        </w:trPr>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具备强力专杀云端下发通道，支持在管理端批量下发强力专杀工具到内网各终端快速响应终端威胁。</w:t>
            </w:r>
          </w:p>
        </w:tc>
      </w:tr>
      <w:tr>
        <w:tblPrEx>
          <w:tblCellMar>
            <w:top w:w="0" w:type="dxa"/>
            <w:left w:w="108" w:type="dxa"/>
            <w:bottom w:w="0" w:type="dxa"/>
            <w:right w:w="108" w:type="dxa"/>
          </w:tblCellMar>
        </w:tblPrEx>
        <w:trPr>
          <w:trHeight w:val="260" w:hRule="atLeast"/>
        </w:trPr>
        <w:tc>
          <w:tcPr>
            <w:tcW w:w="778" w:type="pct"/>
            <w:tcBorders>
              <w:top w:val="single" w:color="000000" w:sz="4" w:space="0"/>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漏洞防护</w:t>
            </w:r>
          </w:p>
        </w:tc>
        <w:tc>
          <w:tcPr>
            <w:tcW w:w="4222" w:type="pct"/>
            <w:tcBorders>
              <w:top w:val="single" w:color="000000" w:sz="4" w:space="0"/>
              <w:left w:val="single" w:color="000000" w:sz="4" w:space="0"/>
              <w:bottom w:val="single" w:color="000000" w:sz="4" w:space="0"/>
              <w:right w:val="single" w:color="000000" w:sz="4" w:space="0"/>
            </w:tcBorders>
            <w:shd w:val="clear" w:color="auto" w:fill="auto"/>
          </w:tcPr>
          <w:p>
            <w:pPr>
              <w:pStyle w:val="242"/>
              <w:spacing w:line="300" w:lineRule="auto"/>
              <w:ind w:firstLine="0" w:firstLineChars="0"/>
              <w:rPr>
                <w:rFonts w:ascii="Times New Roman" w:hAnsi="Times New Roman"/>
              </w:rPr>
            </w:pPr>
            <w:r>
              <w:rPr>
                <w:rFonts w:ascii="Times New Roman" w:hAnsi="Times New Roman"/>
              </w:rPr>
              <w:t>支持流行Windows高危漏洞的轻补丁免疫防御，支持Windows补丁批量一键修复</w:t>
            </w:r>
          </w:p>
        </w:tc>
      </w:tr>
      <w:tr>
        <w:tblPrEx>
          <w:tblCellMar>
            <w:top w:w="0" w:type="dxa"/>
            <w:left w:w="108" w:type="dxa"/>
            <w:bottom w:w="0" w:type="dxa"/>
            <w:right w:w="108" w:type="dxa"/>
          </w:tblCellMar>
        </w:tblPrEx>
        <w:trPr>
          <w:trHeight w:val="621" w:hRule="atLeast"/>
        </w:trPr>
        <w:tc>
          <w:tcPr>
            <w:tcW w:w="778" w:type="pct"/>
            <w:vMerge w:val="restart"/>
            <w:tcBorders>
              <w:top w:val="single" w:color="000000" w:sz="4" w:space="0"/>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微隔离</w:t>
            </w: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支持基于IP（组）、服务和角色维度进行配置项设置，并且支持对配置项的备份以及恢复操作</w:t>
            </w:r>
          </w:p>
        </w:tc>
      </w:tr>
      <w:tr>
        <w:tblPrEx>
          <w:tblCellMar>
            <w:top w:w="0" w:type="dxa"/>
            <w:left w:w="108" w:type="dxa"/>
            <w:bottom w:w="0" w:type="dxa"/>
            <w:right w:w="108" w:type="dxa"/>
          </w:tblCellMar>
        </w:tblPrEx>
        <w:trPr>
          <w:trHeight w:val="530" w:hRule="atLeast"/>
        </w:trPr>
        <w:tc>
          <w:tcPr>
            <w:tcW w:w="778" w:type="pct"/>
            <w:vMerge w:val="continue"/>
            <w:tcBorders>
              <w:left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支持图形化显示业务系统、服务器及流量详情</w:t>
            </w:r>
          </w:p>
        </w:tc>
      </w:tr>
      <w:tr>
        <w:tblPrEx>
          <w:tblCellMar>
            <w:top w:w="0" w:type="dxa"/>
            <w:left w:w="108" w:type="dxa"/>
            <w:bottom w:w="0" w:type="dxa"/>
            <w:right w:w="108" w:type="dxa"/>
          </w:tblCellMar>
        </w:tblPrEx>
        <w:trPr>
          <w:trHeight w:val="270" w:hRule="atLeast"/>
        </w:trPr>
        <w:tc>
          <w:tcPr>
            <w:tcW w:w="778" w:type="pct"/>
            <w:vMerge w:val="continue"/>
            <w:tcBorders>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p>
        </w:tc>
        <w:tc>
          <w:tcPr>
            <w:tcW w:w="422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2"/>
              <w:spacing w:line="300" w:lineRule="auto"/>
              <w:ind w:firstLine="0" w:firstLineChars="0"/>
              <w:rPr>
                <w:rFonts w:ascii="Times New Roman" w:hAnsi="Times New Roman"/>
              </w:rPr>
            </w:pPr>
            <w:r>
              <w:rPr>
                <w:rFonts w:ascii="Times New Roman" w:hAnsi="Times New Roman"/>
              </w:rPr>
              <w:t>流量线详情支持展示该流量线对应的控制策略；图形化显示服务器间流量关系，包括访问详情、流量趋势等</w:t>
            </w:r>
          </w:p>
        </w:tc>
      </w:tr>
    </w:tbl>
    <w:p>
      <w:pPr>
        <w:pStyle w:val="242"/>
        <w:rPr>
          <w:rFonts w:hint="eastAsia"/>
        </w:rPr>
      </w:pPr>
    </w:p>
    <w:p>
      <w:pPr>
        <w:pStyle w:val="408"/>
        <w:spacing w:line="360" w:lineRule="auto"/>
        <w:ind w:firstLineChars="0"/>
        <w:outlineLvl w:val="1"/>
        <w:rPr>
          <w:b/>
          <w:bCs/>
          <w:sz w:val="24"/>
          <w:szCs w:val="24"/>
        </w:rPr>
      </w:pPr>
      <w:r>
        <w:rPr>
          <w:b/>
          <w:bCs/>
          <w:sz w:val="24"/>
          <w:szCs w:val="24"/>
        </w:rPr>
        <w:t>6、云网站防护服务</w:t>
      </w:r>
    </w:p>
    <w:tbl>
      <w:tblPr>
        <w:tblStyle w:val="42"/>
        <w:tblW w:w="7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shd w:val="clear" w:color="auto" w:fill="FFC000"/>
            <w:vAlign w:val="center"/>
          </w:tcPr>
          <w:p>
            <w:pPr>
              <w:pStyle w:val="242"/>
              <w:spacing w:line="300" w:lineRule="auto"/>
              <w:ind w:firstLine="0" w:firstLineChars="0"/>
              <w:rPr>
                <w:rFonts w:ascii="Times New Roman" w:hAnsi="Times New Roman"/>
                <w:b/>
              </w:rPr>
            </w:pPr>
            <w:r>
              <w:rPr>
                <w:rFonts w:hint="eastAsia" w:ascii="Times New Roman" w:hAnsi="Times New Roman"/>
                <w:b/>
              </w:rPr>
              <w:t>技术指标</w:t>
            </w:r>
          </w:p>
        </w:tc>
        <w:tc>
          <w:tcPr>
            <w:tcW w:w="6531" w:type="dxa"/>
            <w:shd w:val="clear" w:color="auto" w:fill="FFC000"/>
            <w:vAlign w:val="center"/>
          </w:tcPr>
          <w:p>
            <w:pPr>
              <w:pStyle w:val="242"/>
              <w:spacing w:line="300" w:lineRule="auto"/>
              <w:ind w:firstLine="0" w:firstLineChars="0"/>
              <w:rPr>
                <w:rFonts w:ascii="Times New Roman" w:hAnsi="Times New Roman"/>
                <w:b/>
              </w:rPr>
            </w:pPr>
            <w:r>
              <w:rPr>
                <w:rFonts w:hint="eastAsia" w:ascii="Times New Roman" w:hAnsi="Times New Roman"/>
                <w:b/>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Align w:val="center"/>
          </w:tcPr>
          <w:p>
            <w:pPr>
              <w:pStyle w:val="242"/>
              <w:spacing w:line="300" w:lineRule="auto"/>
              <w:ind w:firstLine="0" w:firstLineChars="0"/>
              <w:rPr>
                <w:rFonts w:ascii="Times New Roman" w:hAnsi="Times New Roman"/>
              </w:rPr>
            </w:pPr>
            <w:r>
              <w:rPr>
                <w:rFonts w:hint="eastAsia" w:ascii="Times New Roman" w:hAnsi="Times New Roman"/>
              </w:rPr>
              <w:t>数量要求</w:t>
            </w:r>
          </w:p>
        </w:tc>
        <w:tc>
          <w:tcPr>
            <w:tcW w:w="6531" w:type="dxa"/>
            <w:vAlign w:val="center"/>
          </w:tcPr>
          <w:p>
            <w:pPr>
              <w:pStyle w:val="242"/>
              <w:spacing w:line="300" w:lineRule="auto"/>
              <w:ind w:firstLine="0" w:firstLineChars="0"/>
              <w:rPr>
                <w:rFonts w:ascii="Times New Roman" w:hAnsi="Times New Roman"/>
              </w:rPr>
            </w:pPr>
            <w:r>
              <w:rPr>
                <w:rFonts w:hint="eastAsia" w:ascii="Times New Roman" w:hAnsi="Times New Roman"/>
              </w:rPr>
              <w:t>本次要求提供≥5</w:t>
            </w:r>
            <w:r>
              <w:rPr>
                <w:rFonts w:ascii="Times New Roman" w:hAnsi="Times New Roman"/>
              </w:rPr>
              <w:t>0</w:t>
            </w:r>
            <w:r>
              <w:rPr>
                <w:rFonts w:hint="eastAsia" w:ascii="Times New Roman" w:hAnsi="Times New Roman"/>
              </w:rPr>
              <w:t>个数目的w</w:t>
            </w:r>
            <w:r>
              <w:rPr>
                <w:rFonts w:ascii="Times New Roman" w:hAnsi="Times New Roman"/>
              </w:rPr>
              <w:t>eb</w:t>
            </w:r>
            <w:r>
              <w:rPr>
                <w:rFonts w:hint="eastAsia" w:ascii="Times New Roman" w:hAnsi="Times New Roman"/>
              </w:rPr>
              <w:t>网站防护授权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Align w:val="center"/>
          </w:tcPr>
          <w:p>
            <w:pPr>
              <w:pStyle w:val="242"/>
              <w:spacing w:line="300" w:lineRule="auto"/>
              <w:ind w:firstLine="0" w:firstLineChars="0"/>
              <w:rPr>
                <w:rFonts w:ascii="Times New Roman" w:hAnsi="Times New Roman"/>
              </w:rPr>
            </w:pPr>
            <w:r>
              <w:rPr>
                <w:rFonts w:ascii="Times New Roman" w:hAnsi="Times New Roman"/>
              </w:rPr>
              <w:t>部署形态</w:t>
            </w:r>
          </w:p>
        </w:tc>
        <w:tc>
          <w:tcPr>
            <w:tcW w:w="6531" w:type="dxa"/>
            <w:vAlign w:val="center"/>
          </w:tcPr>
          <w:p>
            <w:pPr>
              <w:pStyle w:val="242"/>
              <w:spacing w:line="300" w:lineRule="auto"/>
              <w:ind w:firstLine="0" w:firstLineChars="0"/>
              <w:rPr>
                <w:rFonts w:ascii="Times New Roman" w:hAnsi="Times New Roman"/>
              </w:rPr>
            </w:pPr>
            <w:r>
              <w:rPr>
                <w:rFonts w:ascii="Times New Roman" w:hAnsi="Times New Roman"/>
              </w:rPr>
              <w:t>支持镜像和容器的方式部署在虚拟环境和云平台中。</w:t>
            </w:r>
            <w:bookmarkStart w:id="6" w:name="_Hlk59395129"/>
            <w:r>
              <w:rPr>
                <w:rFonts w:ascii="Times New Roman" w:hAnsi="Times New Roman"/>
              </w:rPr>
              <w:t>支持反向代理的部署方式，适应复杂使用环境的接入要求。</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restart"/>
            <w:vAlign w:val="center"/>
          </w:tcPr>
          <w:p>
            <w:pPr>
              <w:pStyle w:val="242"/>
              <w:spacing w:line="300" w:lineRule="auto"/>
              <w:ind w:firstLine="0" w:firstLineChars="0"/>
              <w:rPr>
                <w:rFonts w:ascii="Times New Roman" w:hAnsi="Times New Roman"/>
              </w:rPr>
            </w:pPr>
            <w:r>
              <w:rPr>
                <w:rFonts w:ascii="Times New Roman" w:hAnsi="Times New Roman"/>
              </w:rPr>
              <w:t>Web应用防护</w:t>
            </w:r>
          </w:p>
        </w:tc>
        <w:tc>
          <w:tcPr>
            <w:tcW w:w="6531" w:type="dxa"/>
            <w:vAlign w:val="center"/>
          </w:tcPr>
          <w:p>
            <w:pPr>
              <w:pStyle w:val="242"/>
              <w:spacing w:line="300" w:lineRule="auto"/>
              <w:ind w:firstLine="0" w:firstLineChars="0"/>
              <w:rPr>
                <w:rFonts w:ascii="Times New Roman" w:hAnsi="Times New Roman"/>
                <w:bCs/>
              </w:rPr>
            </w:pPr>
            <w:bookmarkStart w:id="7" w:name="_Hlk41980534"/>
            <w:r>
              <w:rPr>
                <w:rFonts w:ascii="Times New Roman" w:hAnsi="Times New Roman"/>
                <w:bCs/>
              </w:rPr>
              <w:t>支持超过4900种Web应用防护规则，和超过1200种Web漏洞攻击特征识别规则。</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vAlign w:val="center"/>
          </w:tcPr>
          <w:p>
            <w:pPr>
              <w:pStyle w:val="242"/>
              <w:spacing w:line="300" w:lineRule="auto"/>
              <w:ind w:firstLine="0" w:firstLineChars="0"/>
              <w:rPr>
                <w:rFonts w:ascii="Times New Roman" w:hAnsi="Times New Roman"/>
              </w:rPr>
            </w:pPr>
          </w:p>
        </w:tc>
        <w:tc>
          <w:tcPr>
            <w:tcW w:w="6531" w:type="dxa"/>
            <w:vAlign w:val="center"/>
          </w:tcPr>
          <w:p>
            <w:pPr>
              <w:pStyle w:val="242"/>
              <w:spacing w:line="300" w:lineRule="auto"/>
              <w:ind w:firstLine="0" w:firstLineChars="0"/>
              <w:rPr>
                <w:rFonts w:ascii="Times New Roman" w:hAnsi="Times New Roman"/>
                <w:bCs/>
              </w:rPr>
            </w:pPr>
            <w:bookmarkStart w:id="8" w:name="_Hlk41982999"/>
            <w:r>
              <w:rPr>
                <w:rFonts w:ascii="Times New Roman" w:hAnsi="Times New Roman"/>
                <w:bCs/>
              </w:rPr>
              <w:t>支持防护SQL注入、XSS攻击、网页木马、网站扫描、Webshell、跨站请求伪造（CSRF）、系统命令注入、文件包含攻击、目录遍历攻击、信息泄露攻击、Web漏洞攻击等。</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vAlign w:val="center"/>
          </w:tcPr>
          <w:p>
            <w:pPr>
              <w:pStyle w:val="242"/>
              <w:spacing w:line="300" w:lineRule="auto"/>
              <w:ind w:firstLine="0" w:firstLineChars="0"/>
              <w:rPr>
                <w:rFonts w:ascii="Times New Roman" w:hAnsi="Times New Roman"/>
              </w:rPr>
            </w:pPr>
          </w:p>
        </w:tc>
        <w:tc>
          <w:tcPr>
            <w:tcW w:w="6531" w:type="dxa"/>
            <w:vAlign w:val="center"/>
          </w:tcPr>
          <w:p>
            <w:pPr>
              <w:pStyle w:val="242"/>
              <w:spacing w:line="300" w:lineRule="auto"/>
              <w:ind w:firstLine="0" w:firstLineChars="0"/>
              <w:rPr>
                <w:rFonts w:ascii="Times New Roman" w:hAnsi="Times New Roman"/>
                <w:bCs/>
              </w:rPr>
            </w:pPr>
            <w:bookmarkStart w:id="9" w:name="_Hlk41983036"/>
            <w:r>
              <w:rPr>
                <w:rFonts w:ascii="Times New Roman" w:hAnsi="Times New Roman"/>
                <w:bCs/>
              </w:rPr>
              <w:t>支持WEB登录弱口令检测。</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vAlign w:val="center"/>
          </w:tcPr>
          <w:p>
            <w:pPr>
              <w:pStyle w:val="242"/>
              <w:spacing w:line="300" w:lineRule="auto"/>
              <w:ind w:firstLine="0" w:firstLineChars="0"/>
              <w:rPr>
                <w:rFonts w:ascii="Times New Roman" w:hAnsi="Times New Roman"/>
              </w:rPr>
            </w:pPr>
          </w:p>
        </w:tc>
        <w:tc>
          <w:tcPr>
            <w:tcW w:w="6531" w:type="dxa"/>
            <w:vAlign w:val="center"/>
          </w:tcPr>
          <w:p>
            <w:pPr>
              <w:pStyle w:val="242"/>
              <w:spacing w:line="300" w:lineRule="auto"/>
              <w:ind w:firstLine="0" w:firstLineChars="0"/>
              <w:rPr>
                <w:rFonts w:ascii="Times New Roman" w:hAnsi="Times New Roman"/>
                <w:bCs/>
              </w:rPr>
            </w:pPr>
            <w:bookmarkStart w:id="10" w:name="_Hlk41983274"/>
            <w:r>
              <w:rPr>
                <w:rFonts w:ascii="Times New Roman" w:hAnsi="Times New Roman"/>
                <w:bCs/>
              </w:rPr>
              <w:t>支持自定义Web应用防护规则，通过正则表达式自定义规则匹配方向、动作、字符串、危险等级、动作、攻击影响、描述等。</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restart"/>
            <w:vAlign w:val="center"/>
          </w:tcPr>
          <w:p>
            <w:pPr>
              <w:pStyle w:val="242"/>
              <w:spacing w:line="300" w:lineRule="auto"/>
              <w:ind w:firstLine="0" w:firstLineChars="0"/>
              <w:rPr>
                <w:rFonts w:ascii="Times New Roman" w:hAnsi="Times New Roman"/>
              </w:rPr>
            </w:pPr>
            <w:r>
              <w:rPr>
                <w:rFonts w:ascii="Times New Roman" w:hAnsi="Times New Roman"/>
              </w:rPr>
              <w:t>语义分析</w:t>
            </w:r>
          </w:p>
        </w:tc>
        <w:tc>
          <w:tcPr>
            <w:tcW w:w="6531" w:type="dxa"/>
            <w:vAlign w:val="center"/>
          </w:tcPr>
          <w:p>
            <w:pPr>
              <w:pStyle w:val="242"/>
              <w:spacing w:line="300" w:lineRule="auto"/>
              <w:ind w:firstLine="0" w:firstLineChars="0"/>
              <w:rPr>
                <w:rFonts w:ascii="Times New Roman" w:hAnsi="Times New Roman"/>
                <w:bCs/>
              </w:rPr>
            </w:pPr>
            <w:bookmarkStart w:id="11" w:name="_Hlk53667444"/>
            <w:r>
              <w:rPr>
                <w:rFonts w:ascii="Times New Roman" w:hAnsi="Times New Roman"/>
                <w:bCs/>
              </w:rPr>
              <w:t>支持语义引擎用于检测Web攻击，能针对不同类型的Web攻击如命令注入攻击防护等，单独选择开启或关闭语义引擎检测。</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vAlign w:val="center"/>
          </w:tcPr>
          <w:p>
            <w:pPr>
              <w:pStyle w:val="242"/>
              <w:spacing w:line="300" w:lineRule="auto"/>
              <w:ind w:firstLine="0" w:firstLineChars="0"/>
              <w:rPr>
                <w:rFonts w:ascii="Times New Roman" w:hAnsi="Times New Roman"/>
              </w:rPr>
            </w:pPr>
          </w:p>
        </w:tc>
        <w:tc>
          <w:tcPr>
            <w:tcW w:w="6531" w:type="dxa"/>
            <w:vAlign w:val="center"/>
          </w:tcPr>
          <w:p>
            <w:pPr>
              <w:pStyle w:val="242"/>
              <w:spacing w:line="300" w:lineRule="auto"/>
              <w:ind w:firstLine="0" w:firstLineChars="0"/>
              <w:rPr>
                <w:rFonts w:ascii="Times New Roman" w:hAnsi="Times New Roman"/>
                <w:bCs/>
              </w:rPr>
            </w:pPr>
            <w:bookmarkStart w:id="12" w:name="_Hlk53667528"/>
            <w:r>
              <w:rPr>
                <w:rFonts w:ascii="Times New Roman" w:hAnsi="Times New Roman"/>
                <w:bCs/>
              </w:rPr>
              <w:t>支持自定义语义引擎白名单功能，包含通过Web应用防护规则、URL参数、IP地址、Webshell上传防护、SQL、XSS、后门扫描的方式排除。</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restart"/>
            <w:vAlign w:val="center"/>
          </w:tcPr>
          <w:p>
            <w:pPr>
              <w:pStyle w:val="242"/>
              <w:spacing w:line="300" w:lineRule="auto"/>
              <w:ind w:firstLine="0" w:firstLineChars="0"/>
              <w:rPr>
                <w:rFonts w:ascii="Times New Roman" w:hAnsi="Times New Roman"/>
              </w:rPr>
            </w:pPr>
            <w:r>
              <w:rPr>
                <w:rFonts w:ascii="Times New Roman" w:hAnsi="Times New Roman"/>
                <w:bCs/>
              </w:rPr>
              <w:t>机器人流量防护</w:t>
            </w:r>
          </w:p>
        </w:tc>
        <w:tc>
          <w:tcPr>
            <w:tcW w:w="6531" w:type="dxa"/>
            <w:vAlign w:val="center"/>
          </w:tcPr>
          <w:p>
            <w:pPr>
              <w:pStyle w:val="242"/>
              <w:spacing w:line="300" w:lineRule="auto"/>
              <w:ind w:firstLine="0" w:firstLineChars="0"/>
              <w:rPr>
                <w:rFonts w:ascii="Times New Roman" w:hAnsi="Times New Roman"/>
                <w:bCs/>
              </w:rPr>
            </w:pPr>
            <w:r>
              <w:rPr>
                <w:rFonts w:ascii="Times New Roman" w:hAnsi="Times New Roman"/>
                <w:bCs/>
              </w:rPr>
              <w:t>产品原生支持BOT防护功能，可过滤机器人自动化流量，非联动其他组件或产品，并支持用户自定义保护阈值。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vAlign w:val="center"/>
          </w:tcPr>
          <w:p>
            <w:pPr>
              <w:pStyle w:val="242"/>
              <w:spacing w:line="300" w:lineRule="auto"/>
              <w:ind w:firstLine="0" w:firstLineChars="0"/>
              <w:rPr>
                <w:rFonts w:ascii="Times New Roman" w:hAnsi="Times New Roman"/>
              </w:rPr>
            </w:pPr>
          </w:p>
        </w:tc>
        <w:tc>
          <w:tcPr>
            <w:tcW w:w="6531" w:type="dxa"/>
            <w:vAlign w:val="center"/>
          </w:tcPr>
          <w:p>
            <w:pPr>
              <w:pStyle w:val="242"/>
              <w:spacing w:line="300" w:lineRule="auto"/>
              <w:ind w:firstLine="0" w:firstLineChars="0"/>
              <w:rPr>
                <w:rFonts w:ascii="Times New Roman" w:hAnsi="Times New Roman"/>
                <w:bCs/>
              </w:rPr>
            </w:pPr>
            <w:r>
              <w:rPr>
                <w:rFonts w:ascii="Times New Roman" w:hAnsi="Times New Roman"/>
                <w:bCs/>
              </w:rPr>
              <w:t>支持自定义BOT防护排除功能，支持通过IP地址白名单、User-Agent、URL前缀的方式排除。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restart"/>
            <w:vAlign w:val="center"/>
          </w:tcPr>
          <w:p>
            <w:pPr>
              <w:pStyle w:val="242"/>
              <w:spacing w:line="300" w:lineRule="auto"/>
              <w:ind w:firstLine="0" w:firstLineChars="0"/>
              <w:rPr>
                <w:rFonts w:ascii="Times New Roman" w:hAnsi="Times New Roman"/>
              </w:rPr>
            </w:pPr>
            <w:bookmarkStart w:id="13" w:name="_Hlk41984462"/>
            <w:r>
              <w:rPr>
                <w:rFonts w:ascii="Times New Roman" w:hAnsi="Times New Roman"/>
              </w:rPr>
              <w:t>界面展示</w:t>
            </w:r>
          </w:p>
        </w:tc>
        <w:tc>
          <w:tcPr>
            <w:tcW w:w="6531" w:type="dxa"/>
            <w:vAlign w:val="center"/>
          </w:tcPr>
          <w:p>
            <w:pPr>
              <w:pStyle w:val="242"/>
              <w:spacing w:line="300" w:lineRule="auto"/>
              <w:ind w:firstLine="0" w:firstLineChars="0"/>
              <w:rPr>
                <w:rFonts w:ascii="Times New Roman" w:hAnsi="Times New Roman"/>
                <w:bCs/>
              </w:rPr>
            </w:pPr>
            <w:r>
              <w:rPr>
                <w:rFonts w:ascii="Times New Roman" w:hAnsi="Times New Roman"/>
                <w:bCs/>
              </w:rPr>
              <w:t>支持针对业务风险汇总，支持展示业务安全状态分布，包括已失陷业务、正在遭受攻击的业务、存在漏洞但暂时未被攻击的业务。</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vAlign w:val="center"/>
          </w:tcPr>
          <w:p>
            <w:pPr>
              <w:pStyle w:val="242"/>
              <w:spacing w:line="300" w:lineRule="auto"/>
              <w:ind w:firstLine="0" w:firstLineChars="0"/>
              <w:rPr>
                <w:rFonts w:ascii="Times New Roman" w:hAnsi="Times New Roman"/>
              </w:rPr>
            </w:pPr>
          </w:p>
        </w:tc>
        <w:tc>
          <w:tcPr>
            <w:tcW w:w="6531" w:type="dxa"/>
            <w:vAlign w:val="center"/>
          </w:tcPr>
          <w:p>
            <w:pPr>
              <w:pStyle w:val="242"/>
              <w:spacing w:line="300" w:lineRule="auto"/>
              <w:ind w:firstLine="0" w:firstLineChars="0"/>
              <w:rPr>
                <w:rFonts w:ascii="Times New Roman" w:hAnsi="Times New Roman"/>
                <w:bCs/>
              </w:rPr>
            </w:pPr>
            <w:bookmarkStart w:id="14" w:name="_Hlk41984467"/>
            <w:r>
              <w:rPr>
                <w:rFonts w:ascii="Times New Roman" w:hAnsi="Times New Roman"/>
                <w:bCs/>
              </w:rPr>
              <w:t xml:space="preserve">支持对业务详情进行展示，包括业务存在关键的风险，可以提供具体的攻击链过程并对攻击进行举证。 </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13" w:type="dxa"/>
            <w:vMerge w:val="continue"/>
            <w:vAlign w:val="center"/>
          </w:tcPr>
          <w:p>
            <w:pPr>
              <w:pStyle w:val="242"/>
              <w:spacing w:line="300" w:lineRule="auto"/>
              <w:ind w:firstLine="0" w:firstLineChars="0"/>
              <w:rPr>
                <w:rFonts w:ascii="Times New Roman" w:hAnsi="Times New Roman"/>
              </w:rPr>
            </w:pPr>
          </w:p>
        </w:tc>
        <w:tc>
          <w:tcPr>
            <w:tcW w:w="6531" w:type="dxa"/>
            <w:vAlign w:val="center"/>
          </w:tcPr>
          <w:p>
            <w:pPr>
              <w:pStyle w:val="242"/>
              <w:spacing w:line="300" w:lineRule="auto"/>
              <w:ind w:firstLine="0" w:firstLineChars="0"/>
              <w:rPr>
                <w:rFonts w:ascii="Times New Roman" w:hAnsi="Times New Roman"/>
                <w:bCs/>
              </w:rPr>
            </w:pPr>
            <w:bookmarkStart w:id="15" w:name="_Hlk41984473"/>
            <w:r>
              <w:rPr>
                <w:rFonts w:ascii="Times New Roman" w:hAnsi="Times New Roman"/>
                <w:bCs/>
              </w:rPr>
              <w:t xml:space="preserve">支持针对业务攻击事件汇总，展示攻击事件类型TOP5及当前业务命中的全网实时热点事件。 </w:t>
            </w:r>
            <w:bookmarkEnd w:id="15"/>
          </w:p>
        </w:tc>
      </w:tr>
    </w:tbl>
    <w:p>
      <w:pPr>
        <w:pStyle w:val="242"/>
        <w:rPr>
          <w:rFonts w:hint="eastAsia"/>
        </w:rPr>
      </w:pPr>
    </w:p>
    <w:p>
      <w:pPr>
        <w:pStyle w:val="408"/>
        <w:spacing w:line="360" w:lineRule="auto"/>
        <w:ind w:firstLineChars="0"/>
        <w:outlineLvl w:val="1"/>
        <w:rPr>
          <w:b/>
          <w:bCs/>
          <w:sz w:val="24"/>
          <w:szCs w:val="24"/>
        </w:rPr>
      </w:pPr>
      <w:r>
        <w:rPr>
          <w:b/>
          <w:bCs/>
          <w:sz w:val="24"/>
          <w:szCs w:val="24"/>
        </w:rPr>
        <w:t>7、勒索保险与理赔服务</w:t>
      </w:r>
    </w:p>
    <w:tbl>
      <w:tblPr>
        <w:tblStyle w:val="43"/>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FFC000"/>
          </w:tcPr>
          <w:p>
            <w:pPr>
              <w:spacing w:line="276" w:lineRule="auto"/>
              <w:jc w:val="center"/>
              <w:rPr>
                <w:b/>
                <w:bCs/>
                <w:sz w:val="24"/>
                <w:szCs w:val="28"/>
              </w:rPr>
            </w:pPr>
            <w:r>
              <w:rPr>
                <w:b/>
                <w:bCs/>
                <w:sz w:val="24"/>
                <w:szCs w:val="28"/>
              </w:rPr>
              <w:t>技术指标</w:t>
            </w:r>
          </w:p>
        </w:tc>
        <w:tc>
          <w:tcPr>
            <w:tcW w:w="6520" w:type="dxa"/>
            <w:shd w:val="clear" w:color="auto" w:fill="FFC000"/>
          </w:tcPr>
          <w:p>
            <w:pPr>
              <w:spacing w:line="276" w:lineRule="auto"/>
              <w:jc w:val="center"/>
              <w:rPr>
                <w:b/>
                <w:bCs/>
                <w:sz w:val="24"/>
                <w:szCs w:val="28"/>
              </w:rPr>
            </w:pPr>
            <w:r>
              <w:rPr>
                <w:b/>
                <w:bCs/>
                <w:sz w:val="24"/>
                <w:szCs w:val="2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276" w:lineRule="auto"/>
              <w:rPr>
                <w:sz w:val="24"/>
                <w:szCs w:val="28"/>
              </w:rPr>
            </w:pPr>
            <w:r>
              <w:rPr>
                <w:sz w:val="24"/>
                <w:szCs w:val="28"/>
              </w:rPr>
              <w:t>保险对象</w:t>
            </w:r>
          </w:p>
        </w:tc>
        <w:tc>
          <w:tcPr>
            <w:tcW w:w="6520" w:type="dxa"/>
          </w:tcPr>
          <w:p>
            <w:pPr>
              <w:spacing w:line="276" w:lineRule="auto"/>
              <w:rPr>
                <w:sz w:val="24"/>
                <w:szCs w:val="28"/>
              </w:rPr>
            </w:pPr>
            <w:r>
              <w:rPr>
                <w:sz w:val="24"/>
                <w:szCs w:val="28"/>
              </w:rPr>
              <w:t>针对已经安装终端防护服务组件并且已配置勒索防护策略的资产。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spacing w:line="276" w:lineRule="auto"/>
              <w:rPr>
                <w:sz w:val="24"/>
                <w:szCs w:val="28"/>
              </w:rPr>
            </w:pPr>
            <w:r>
              <w:rPr>
                <w:sz w:val="24"/>
                <w:szCs w:val="28"/>
              </w:rPr>
              <w:t>勒索风险排查</w:t>
            </w:r>
          </w:p>
        </w:tc>
        <w:tc>
          <w:tcPr>
            <w:tcW w:w="6520" w:type="dxa"/>
          </w:tcPr>
          <w:p>
            <w:pPr>
              <w:spacing w:line="276" w:lineRule="auto"/>
              <w:rPr>
                <w:sz w:val="24"/>
                <w:szCs w:val="28"/>
              </w:rPr>
            </w:pPr>
            <w:r>
              <w:rPr>
                <w:sz w:val="24"/>
                <w:szCs w:val="28"/>
              </w:rPr>
              <w:t>投标方应面向招标方提供定期的勒索病毒入侵风险专项排查，投标方应按照勒索预防Checklist开展勒索风险评估，勒索预防Checklist应当包含勒索高危利用漏洞、端口、安全策略、攻击行为、勒索残留隐患几个纬度。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spacing w:line="276" w:lineRule="auto"/>
              <w:rPr>
                <w:sz w:val="24"/>
                <w:szCs w:val="28"/>
              </w:rPr>
            </w:pPr>
          </w:p>
        </w:tc>
        <w:tc>
          <w:tcPr>
            <w:tcW w:w="6520" w:type="dxa"/>
          </w:tcPr>
          <w:p>
            <w:pPr>
              <w:spacing w:line="276" w:lineRule="auto"/>
              <w:rPr>
                <w:sz w:val="24"/>
                <w:szCs w:val="28"/>
              </w:rPr>
            </w:pPr>
            <w:r>
              <w:rPr>
                <w:sz w:val="24"/>
                <w:szCs w:val="28"/>
              </w:rPr>
              <w:t>投标方定期按照勒索预防Checklist开展勒索风险评估后应当每季度一次向招标方提供《勒索病毒风险排查报告》，包括中应包含全面的勒索风险分析和隐患加固处置的情况，并且投标方有义务按招标方要求进行远程或现场的成果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276" w:lineRule="auto"/>
              <w:rPr>
                <w:sz w:val="24"/>
                <w:szCs w:val="28"/>
              </w:rPr>
            </w:pPr>
            <w:r>
              <w:rPr>
                <w:sz w:val="24"/>
                <w:szCs w:val="28"/>
              </w:rPr>
              <w:t>勒索风险排查工具</w:t>
            </w:r>
          </w:p>
        </w:tc>
        <w:tc>
          <w:tcPr>
            <w:tcW w:w="6520" w:type="dxa"/>
          </w:tcPr>
          <w:p>
            <w:pPr>
              <w:spacing w:line="276" w:lineRule="auto"/>
              <w:rPr>
                <w:sz w:val="24"/>
                <w:szCs w:val="28"/>
              </w:rPr>
            </w:pPr>
            <w:r>
              <w:rPr>
                <w:sz w:val="24"/>
                <w:szCs w:val="28"/>
              </w:rPr>
              <w:t>服务平台应支持面向招标方按照勒索预防Checklist的一键风险排查，支持纬度至少包含弱密码扫描、勒索高危利用漏洞扫描、高危利用端口扫描、勒索风险策略检查、勒索行为监测，并且投标方可按照招标方要求设置定时勒索风险排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276" w:lineRule="auto"/>
              <w:rPr>
                <w:sz w:val="24"/>
                <w:szCs w:val="28"/>
              </w:rPr>
            </w:pPr>
            <w:r>
              <w:rPr>
                <w:sz w:val="24"/>
                <w:szCs w:val="28"/>
              </w:rPr>
              <w:t>保险金额</w:t>
            </w:r>
          </w:p>
        </w:tc>
        <w:tc>
          <w:tcPr>
            <w:tcW w:w="6520" w:type="dxa"/>
          </w:tcPr>
          <w:p>
            <w:pPr>
              <w:spacing w:line="276" w:lineRule="auto"/>
              <w:rPr>
                <w:sz w:val="24"/>
                <w:szCs w:val="28"/>
              </w:rPr>
            </w:pPr>
            <w:r>
              <w:rPr>
                <w:sz w:val="24"/>
                <w:szCs w:val="28"/>
              </w:rPr>
              <w:t>在服务期间内，当服务资产遭受勒索时，针对最终用户为消除勒索事件影响或减少勒索事件损失所支出的赎金费用，视情况予以赔偿，累计赔偿限额不超过100W，具体赔偿条件、赔偿范围及资产对象以双方正式签署的协议为准</w:t>
            </w:r>
          </w:p>
        </w:tc>
      </w:tr>
    </w:tbl>
    <w:p>
      <w:pPr>
        <w:pStyle w:val="408"/>
        <w:spacing w:line="360" w:lineRule="auto"/>
        <w:ind w:firstLineChars="0"/>
        <w:outlineLvl w:val="1"/>
        <w:rPr>
          <w:b/>
          <w:bCs/>
          <w:sz w:val="24"/>
          <w:szCs w:val="24"/>
        </w:rPr>
      </w:pPr>
      <w:r>
        <w:rPr>
          <w:b/>
          <w:bCs/>
          <w:sz w:val="24"/>
          <w:szCs w:val="24"/>
        </w:rPr>
        <w:t>8、高级安全与应急服务</w:t>
      </w:r>
    </w:p>
    <w:tbl>
      <w:tblPr>
        <w:tblStyle w:val="4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shd w:val="clear" w:color="auto" w:fill="FFC000"/>
          </w:tcPr>
          <w:p>
            <w:pPr>
              <w:spacing w:line="276" w:lineRule="auto"/>
              <w:jc w:val="center"/>
              <w:rPr>
                <w:b/>
                <w:bCs/>
                <w:sz w:val="24"/>
                <w:szCs w:val="24"/>
              </w:rPr>
            </w:pPr>
            <w:r>
              <w:rPr>
                <w:b/>
                <w:bCs/>
                <w:sz w:val="24"/>
                <w:szCs w:val="24"/>
              </w:rPr>
              <w:t>技术指标</w:t>
            </w:r>
          </w:p>
        </w:tc>
        <w:tc>
          <w:tcPr>
            <w:tcW w:w="6525" w:type="dxa"/>
            <w:tcBorders>
              <w:top w:val="single" w:color="auto" w:sz="4" w:space="0"/>
              <w:left w:val="single" w:color="auto" w:sz="4" w:space="0"/>
              <w:bottom w:val="single" w:color="auto" w:sz="4" w:space="0"/>
              <w:right w:val="single" w:color="auto" w:sz="4" w:space="0"/>
            </w:tcBorders>
            <w:shd w:val="clear" w:color="auto" w:fill="FFC000"/>
          </w:tcPr>
          <w:p>
            <w:pPr>
              <w:spacing w:line="276" w:lineRule="auto"/>
              <w:jc w:val="center"/>
              <w:rPr>
                <w:b/>
                <w:bCs/>
                <w:sz w:val="24"/>
                <w:szCs w:val="24"/>
              </w:rPr>
            </w:pPr>
            <w:r>
              <w:rPr>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sz w:val="24"/>
                <w:szCs w:val="24"/>
              </w:rPr>
              <w:t>内网安全评估服务</w:t>
            </w:r>
          </w:p>
        </w:tc>
        <w:tc>
          <w:tcPr>
            <w:tcW w:w="6525"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sz w:val="24"/>
                <w:szCs w:val="24"/>
              </w:rPr>
              <w:t>通过安全扫描、渗透测试等方式全方位检测网络中存在的脆弱性，发现信息系统存在的安全漏洞、安全配置问题、应用系统安全漏洞，检查系统存在的弱口令等等，形成整体安全风险报告，并对安全隐患提出合理的加固建议。</w:t>
            </w:r>
            <w:bookmarkStart w:id="18" w:name="_GoBack"/>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rPr>
                <w:bCs/>
                <w:sz w:val="24"/>
                <w:szCs w:val="24"/>
              </w:rPr>
            </w:pPr>
            <w:r>
              <w:rPr>
                <w:bCs/>
                <w:sz w:val="24"/>
                <w:szCs w:val="24"/>
              </w:rPr>
              <w:t>内网安全加固服务</w:t>
            </w:r>
          </w:p>
        </w:tc>
        <w:tc>
          <w:tcPr>
            <w:tcW w:w="6525"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sz w:val="24"/>
                <w:szCs w:val="24"/>
              </w:rPr>
              <w:t>依据安全检查和评估的各项报告，针对信息系统的网络设备存在的重要安全隐患给出相应的安全加固建议。协助我院通过补丁更新、修补漏洞、安全配置增强、系统架构和安全策略调整等措施进行安全加固，帮助提升系统的安全性和抗攻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sz w:val="24"/>
                <w:szCs w:val="24"/>
              </w:rPr>
              <w:t>网络安全培训服务</w:t>
            </w:r>
          </w:p>
        </w:tc>
        <w:tc>
          <w:tcPr>
            <w:tcW w:w="6525"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sz w:val="24"/>
                <w:szCs w:val="24"/>
              </w:rPr>
              <w:t>根据医院需要协助医院信息中心开展全院的网络安全培训和考试服务。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sz w:val="24"/>
                <w:szCs w:val="24"/>
              </w:rPr>
              <w:t>应急演练服务和应急响应服务</w:t>
            </w:r>
          </w:p>
        </w:tc>
        <w:tc>
          <w:tcPr>
            <w:tcW w:w="6525" w:type="dxa"/>
            <w:tcBorders>
              <w:top w:val="single" w:color="auto" w:sz="4" w:space="0"/>
              <w:left w:val="single" w:color="auto" w:sz="4" w:space="0"/>
              <w:bottom w:val="single" w:color="auto" w:sz="4" w:space="0"/>
              <w:right w:val="single" w:color="auto" w:sz="4" w:space="0"/>
            </w:tcBorders>
            <w:vAlign w:val="center"/>
          </w:tcPr>
          <w:p>
            <w:pPr>
              <w:spacing w:line="276" w:lineRule="auto"/>
              <w:rPr>
                <w:sz w:val="24"/>
                <w:szCs w:val="24"/>
              </w:rPr>
            </w:pPr>
            <w:r>
              <w:rPr>
                <w:sz w:val="24"/>
                <w:szCs w:val="24"/>
              </w:rPr>
              <w:t>选取内网一个核心业务系统，提供全方位的应急演练场景模拟策划、方案编制和组织实施。并在当安全威胁事件发生后迅速采取的措施和行动，最快速恢复系统的保密性、完整性和可用性。</w:t>
            </w:r>
          </w:p>
        </w:tc>
      </w:tr>
    </w:tbl>
    <w:p>
      <w:pPr>
        <w:pStyle w:val="408"/>
        <w:spacing w:line="360" w:lineRule="auto"/>
        <w:ind w:firstLineChars="0"/>
        <w:outlineLvl w:val="1"/>
        <w:rPr>
          <w:b/>
          <w:bCs/>
          <w:sz w:val="24"/>
          <w:szCs w:val="24"/>
        </w:rPr>
      </w:pPr>
      <w:r>
        <w:rPr>
          <w:b/>
          <w:bCs/>
          <w:sz w:val="24"/>
          <w:szCs w:val="24"/>
        </w:rPr>
        <w:t>9、扩展检测与响应服务</w:t>
      </w:r>
    </w:p>
    <w:tbl>
      <w:tblPr>
        <w:tblStyle w:val="43"/>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FFC000"/>
            <w:vAlign w:val="center"/>
          </w:tcPr>
          <w:p>
            <w:pPr>
              <w:widowControl/>
              <w:jc w:val="center"/>
              <w:rPr>
                <w:b/>
                <w:bCs/>
                <w:kern w:val="0"/>
                <w:sz w:val="24"/>
                <w:szCs w:val="24"/>
              </w:rPr>
            </w:pPr>
            <w:r>
              <w:rPr>
                <w:rFonts w:hint="eastAsia"/>
                <w:b/>
                <w:bCs/>
                <w:kern w:val="0"/>
                <w:sz w:val="24"/>
                <w:szCs w:val="24"/>
              </w:rPr>
              <w:t>技术指标</w:t>
            </w:r>
          </w:p>
        </w:tc>
        <w:tc>
          <w:tcPr>
            <w:tcW w:w="6379" w:type="dxa"/>
            <w:shd w:val="clear" w:color="auto" w:fill="FFC000"/>
            <w:vAlign w:val="center"/>
          </w:tcPr>
          <w:p>
            <w:pPr>
              <w:widowControl/>
              <w:jc w:val="center"/>
              <w:rPr>
                <w:b/>
                <w:bCs/>
                <w:kern w:val="0"/>
                <w:sz w:val="24"/>
                <w:szCs w:val="24"/>
              </w:rPr>
            </w:pPr>
            <w:r>
              <w:rPr>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产品形态</w:t>
            </w:r>
          </w:p>
        </w:tc>
        <w:tc>
          <w:tcPr>
            <w:tcW w:w="6379" w:type="dxa"/>
            <w:vAlign w:val="center"/>
          </w:tcPr>
          <w:p>
            <w:pPr>
              <w:widowControl/>
              <w:spacing w:line="300" w:lineRule="auto"/>
              <w:rPr>
                <w:kern w:val="0"/>
                <w:sz w:val="24"/>
                <w:szCs w:val="24"/>
              </w:rPr>
            </w:pPr>
            <w:r>
              <w:rPr>
                <w:kern w:val="0"/>
                <w:sz w:val="24"/>
                <w:szCs w:val="24"/>
              </w:rPr>
              <w:t>平台SAAS化形态，无需要在数据中心进行任何下载和安装，通过账号密码在云端获取服务。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快捷入口</w:t>
            </w:r>
          </w:p>
        </w:tc>
        <w:tc>
          <w:tcPr>
            <w:tcW w:w="6379" w:type="dxa"/>
            <w:vAlign w:val="center"/>
          </w:tcPr>
          <w:p>
            <w:pPr>
              <w:widowControl/>
              <w:spacing w:line="300" w:lineRule="auto"/>
              <w:rPr>
                <w:color w:val="0070C0"/>
                <w:kern w:val="0"/>
                <w:sz w:val="24"/>
                <w:szCs w:val="24"/>
              </w:rPr>
            </w:pPr>
            <w:r>
              <w:rPr>
                <w:kern w:val="0"/>
                <w:sz w:val="24"/>
                <w:szCs w:val="24"/>
              </w:rPr>
              <w:t>支持快捷入口配置，对关心的模块可标星置顶。实现自定义入口设定。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59" w:type="dxa"/>
            <w:vMerge w:val="restart"/>
            <w:vAlign w:val="center"/>
          </w:tcPr>
          <w:p>
            <w:pPr>
              <w:widowControl/>
              <w:spacing w:line="300" w:lineRule="auto"/>
              <w:rPr>
                <w:kern w:val="0"/>
                <w:sz w:val="24"/>
                <w:szCs w:val="24"/>
              </w:rPr>
            </w:pPr>
            <w:r>
              <w:rPr>
                <w:kern w:val="0"/>
                <w:sz w:val="24"/>
                <w:szCs w:val="24"/>
              </w:rPr>
              <w:t>监控大屏</w:t>
            </w:r>
          </w:p>
        </w:tc>
        <w:tc>
          <w:tcPr>
            <w:tcW w:w="6379" w:type="dxa"/>
            <w:vAlign w:val="center"/>
          </w:tcPr>
          <w:p>
            <w:pPr>
              <w:spacing w:line="300" w:lineRule="auto"/>
              <w:rPr>
                <w:rFonts w:hint="eastAsia"/>
                <w:kern w:val="0"/>
                <w:sz w:val="24"/>
                <w:szCs w:val="24"/>
              </w:rPr>
            </w:pPr>
            <w:r>
              <w:rPr>
                <w:kern w:val="0"/>
                <w:sz w:val="24"/>
                <w:szCs w:val="24"/>
              </w:rPr>
              <w:t>支持不同安全视角展示4个独立的大屏展示功能 ，包括全网安全能力监控大屏、安全运维大屏、告警态势大屏、资产态势大屏等，支持配置大屏统计周期。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59" w:type="dxa"/>
            <w:vMerge w:val="continue"/>
            <w:vAlign w:val="center"/>
          </w:tcPr>
          <w:p>
            <w:pPr>
              <w:widowControl/>
              <w:spacing w:line="300" w:lineRule="auto"/>
              <w:rPr>
                <w:kern w:val="0"/>
                <w:sz w:val="24"/>
                <w:szCs w:val="24"/>
              </w:rPr>
            </w:pPr>
          </w:p>
        </w:tc>
        <w:tc>
          <w:tcPr>
            <w:tcW w:w="6379" w:type="dxa"/>
            <w:vAlign w:val="center"/>
          </w:tcPr>
          <w:p>
            <w:pPr>
              <w:spacing w:line="300" w:lineRule="auto"/>
              <w:rPr>
                <w:kern w:val="0"/>
                <w:sz w:val="24"/>
                <w:szCs w:val="24"/>
              </w:rPr>
            </w:pPr>
            <w:r>
              <w:rPr>
                <w:kern w:val="0"/>
                <w:sz w:val="24"/>
                <w:szCs w:val="24"/>
              </w:rPr>
              <w:t>全网安全能力监控大屏支持展示网端数据源展示，并支持跳转相关日志检索页面。可直观展示日志到告警，告警到事件的消减比例。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vAlign w:val="center"/>
          </w:tcPr>
          <w:p>
            <w:pPr>
              <w:widowControl/>
              <w:spacing w:line="300" w:lineRule="auto"/>
              <w:rPr>
                <w:kern w:val="0"/>
                <w:sz w:val="24"/>
                <w:szCs w:val="24"/>
              </w:rPr>
            </w:pPr>
            <w:r>
              <w:rPr>
                <w:kern w:val="0"/>
                <w:sz w:val="24"/>
                <w:szCs w:val="24"/>
              </w:rPr>
              <w:t>可视化中心</w:t>
            </w:r>
          </w:p>
        </w:tc>
        <w:tc>
          <w:tcPr>
            <w:tcW w:w="6379" w:type="dxa"/>
            <w:vAlign w:val="center"/>
          </w:tcPr>
          <w:p>
            <w:pPr>
              <w:widowControl/>
              <w:spacing w:line="300" w:lineRule="auto"/>
              <w:rPr>
                <w:kern w:val="0"/>
                <w:sz w:val="24"/>
                <w:szCs w:val="24"/>
              </w:rPr>
            </w:pPr>
            <w:r>
              <w:rPr>
                <w:kern w:val="0"/>
                <w:sz w:val="24"/>
                <w:szCs w:val="24"/>
              </w:rPr>
              <w:t>支持自定义可视化组件，包括</w:t>
            </w:r>
            <w:r>
              <w:rPr>
                <w:kern w:val="0"/>
                <w:sz w:val="24"/>
                <w:szCs w:val="24"/>
                <w:lang w:eastAsia="zh-Hans"/>
              </w:rPr>
              <w:t>柱形图、水平条形图、趋势图、饼图、表格、指标、Markdown形式</w:t>
            </w:r>
            <w:r>
              <w:rPr>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widowControl/>
              <w:spacing w:line="300" w:lineRule="auto"/>
              <w:rPr>
                <w:kern w:val="0"/>
                <w:sz w:val="24"/>
                <w:szCs w:val="24"/>
              </w:rPr>
            </w:pPr>
          </w:p>
        </w:tc>
        <w:tc>
          <w:tcPr>
            <w:tcW w:w="6379" w:type="dxa"/>
            <w:vAlign w:val="center"/>
          </w:tcPr>
          <w:p>
            <w:pPr>
              <w:widowControl/>
              <w:spacing w:line="300" w:lineRule="auto"/>
              <w:rPr>
                <w:kern w:val="0"/>
                <w:sz w:val="24"/>
                <w:szCs w:val="24"/>
              </w:rPr>
            </w:pPr>
            <w:r>
              <w:rPr>
                <w:kern w:val="0"/>
                <w:sz w:val="24"/>
                <w:szCs w:val="24"/>
              </w:rPr>
              <w:t>支持自定义仪表盘，可圈定资产范围，内置安全告警</w:t>
            </w:r>
            <w:r>
              <w:rPr>
                <w:kern w:val="0"/>
                <w:sz w:val="24"/>
                <w:szCs w:val="24"/>
                <w:lang w:eastAsia="zh-Hans"/>
              </w:rPr>
              <w:t>视</w:t>
            </w:r>
            <w:r>
              <w:rPr>
                <w:kern w:val="0"/>
                <w:sz w:val="24"/>
                <w:szCs w:val="24"/>
              </w:rPr>
              <w:t>图、资产视图、脆弱性风险视图、风险资产视图等模板，展示图表样例包括条形图、水平条形图、趋势图、饼图、表格、指标、</w:t>
            </w:r>
            <w:r>
              <w:rPr>
                <w:kern w:val="0"/>
                <w:sz w:val="24"/>
                <w:szCs w:val="24"/>
                <w:lang w:eastAsia="zh-Hans"/>
              </w:rPr>
              <w:t>M</w:t>
            </w:r>
            <w:r>
              <w:rPr>
                <w:kern w:val="0"/>
                <w:sz w:val="24"/>
                <w:szCs w:val="24"/>
              </w:rPr>
              <w:t>arkdown等，可编辑背景及标题样式，可全局预览。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widowControl/>
              <w:spacing w:line="300" w:lineRule="auto"/>
              <w:rPr>
                <w:kern w:val="0"/>
                <w:sz w:val="24"/>
                <w:szCs w:val="24"/>
              </w:rPr>
            </w:pPr>
          </w:p>
        </w:tc>
        <w:tc>
          <w:tcPr>
            <w:tcW w:w="6379" w:type="dxa"/>
            <w:vAlign w:val="center"/>
          </w:tcPr>
          <w:p>
            <w:pPr>
              <w:widowControl/>
              <w:spacing w:line="300" w:lineRule="auto"/>
              <w:rPr>
                <w:kern w:val="0"/>
                <w:sz w:val="24"/>
                <w:szCs w:val="24"/>
              </w:rPr>
            </w:pPr>
            <w:r>
              <w:rPr>
                <w:kern w:val="0"/>
                <w:sz w:val="24"/>
                <w:szCs w:val="24"/>
              </w:rPr>
              <w:t>支持自定义报告生成，包括时间、报告组件、可视化模块、图标设置及文字编辑，可上传自定义页眉和自动化目录生成，支持预览和导出。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云端威胁狩猎XTH</w:t>
            </w:r>
          </w:p>
        </w:tc>
        <w:tc>
          <w:tcPr>
            <w:tcW w:w="6379" w:type="dxa"/>
            <w:vAlign w:val="center"/>
          </w:tcPr>
          <w:p>
            <w:pPr>
              <w:widowControl/>
              <w:spacing w:line="300" w:lineRule="auto"/>
              <w:rPr>
                <w:color w:val="0070C0"/>
                <w:kern w:val="0"/>
                <w:sz w:val="24"/>
                <w:szCs w:val="24"/>
              </w:rPr>
            </w:pPr>
            <w:r>
              <w:rPr>
                <w:kern w:val="0"/>
                <w:sz w:val="24"/>
                <w:szCs w:val="24"/>
              </w:rPr>
              <w:t>支持云端专家提供轻量安全服务，进行持续的威胁狩猎，发现潜在威胁；在有攻击事件生成后，进行二次确认，通过Threat Hunting标签进行辨别，对热门威胁进行响应；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vAlign w:val="center"/>
          </w:tcPr>
          <w:p>
            <w:pPr>
              <w:widowControl/>
              <w:spacing w:line="300" w:lineRule="auto"/>
              <w:rPr>
                <w:kern w:val="0"/>
                <w:sz w:val="24"/>
                <w:szCs w:val="24"/>
              </w:rPr>
            </w:pPr>
            <w:r>
              <w:rPr>
                <w:kern w:val="0"/>
                <w:sz w:val="24"/>
                <w:szCs w:val="24"/>
              </w:rPr>
              <w:t>安全事件</w:t>
            </w:r>
          </w:p>
        </w:tc>
        <w:tc>
          <w:tcPr>
            <w:tcW w:w="6379" w:type="dxa"/>
            <w:vAlign w:val="center"/>
          </w:tcPr>
          <w:p>
            <w:pPr>
              <w:widowControl/>
              <w:spacing w:line="300" w:lineRule="auto"/>
              <w:rPr>
                <w:color w:val="0070C0"/>
                <w:kern w:val="0"/>
                <w:sz w:val="24"/>
                <w:szCs w:val="24"/>
              </w:rPr>
            </w:pPr>
            <w:r>
              <w:rPr>
                <w:kern w:val="0"/>
                <w:sz w:val="24"/>
                <w:szCs w:val="24"/>
              </w:rPr>
              <w:t>支持对事件等级、事件来源、事件定性、威胁标签、数据源、处置状态等进行快速筛选，并提供简易模式和专家模式两种调查方式，简易模式可基于字段名称进行选取组合统一检索、专家模式采用SPL语句检索。</w:t>
            </w:r>
            <w:r>
              <w:rPr>
                <w:kern w:val="0"/>
                <w:sz w:val="24"/>
                <w:szCs w:val="24"/>
                <w:lang w:eastAsia="zh-Hans"/>
              </w:rPr>
              <w:t>支持保存检索条件。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widowControl/>
              <w:spacing w:line="300" w:lineRule="auto"/>
              <w:rPr>
                <w:kern w:val="0"/>
                <w:sz w:val="24"/>
                <w:szCs w:val="24"/>
              </w:rPr>
            </w:pPr>
          </w:p>
        </w:tc>
        <w:tc>
          <w:tcPr>
            <w:tcW w:w="6379" w:type="dxa"/>
            <w:vAlign w:val="center"/>
          </w:tcPr>
          <w:p>
            <w:pPr>
              <w:widowControl/>
              <w:spacing w:line="300" w:lineRule="auto"/>
              <w:rPr>
                <w:color w:val="0070C0"/>
                <w:kern w:val="0"/>
                <w:sz w:val="24"/>
                <w:szCs w:val="24"/>
              </w:rPr>
            </w:pPr>
            <w:r>
              <w:rPr>
                <w:kern w:val="0"/>
                <w:sz w:val="24"/>
                <w:szCs w:val="24"/>
              </w:rPr>
              <w:t>支持通过安全事件详情查看攻击故事线。安全事件按照</w:t>
            </w:r>
            <w:r>
              <w:rPr>
                <w:kern w:val="0"/>
                <w:sz w:val="24"/>
                <w:szCs w:val="24"/>
                <w:lang w:eastAsia="zh-Hans"/>
              </w:rPr>
              <w:t>攻击入口和</w:t>
            </w:r>
            <w:r>
              <w:rPr>
                <w:kern w:val="0"/>
                <w:sz w:val="24"/>
                <w:szCs w:val="24"/>
              </w:rPr>
              <w:t xml:space="preserve">进程树的视角进行安全分析。可详细点开进程链中任意进程查看进程详情，包括基础信息、威胁告警、网络连接行为、文件行为、域名访问行为、模块加载行为，并且自带解码工具。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widowControl/>
              <w:spacing w:line="300" w:lineRule="auto"/>
              <w:rPr>
                <w:kern w:val="0"/>
                <w:sz w:val="24"/>
                <w:szCs w:val="24"/>
              </w:rPr>
            </w:pPr>
          </w:p>
        </w:tc>
        <w:tc>
          <w:tcPr>
            <w:tcW w:w="6379" w:type="dxa"/>
            <w:vAlign w:val="center"/>
          </w:tcPr>
          <w:p>
            <w:pPr>
              <w:widowControl/>
              <w:spacing w:line="300" w:lineRule="auto"/>
              <w:rPr>
                <w:color w:val="0070C0"/>
                <w:kern w:val="0"/>
                <w:sz w:val="24"/>
                <w:szCs w:val="24"/>
              </w:rPr>
            </w:pPr>
            <w:r>
              <w:rPr>
                <w:kern w:val="0"/>
                <w:sz w:val="24"/>
                <w:szCs w:val="24"/>
              </w:rPr>
              <w:t>支持对安全事件推送处置和响应建议，响应建议包括原理介绍、危害影响、处置建议。通过建议描述、业务影响标签和安全效果标签清晰明确指导下一步响应动作，可一键封禁IP、隔离主机等。支持在线实时聊天框或离线留言咨询攻防专家，获取云端专家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widowControl/>
              <w:spacing w:line="300" w:lineRule="auto"/>
              <w:rPr>
                <w:kern w:val="0"/>
                <w:sz w:val="24"/>
                <w:szCs w:val="24"/>
              </w:rPr>
            </w:pPr>
          </w:p>
        </w:tc>
        <w:tc>
          <w:tcPr>
            <w:tcW w:w="6379" w:type="dxa"/>
            <w:vAlign w:val="center"/>
          </w:tcPr>
          <w:p>
            <w:pPr>
              <w:widowControl/>
              <w:spacing w:line="300" w:lineRule="auto"/>
              <w:rPr>
                <w:color w:val="0070C0"/>
                <w:kern w:val="0"/>
                <w:sz w:val="24"/>
                <w:szCs w:val="24"/>
              </w:rPr>
            </w:pPr>
            <w:r>
              <w:rPr>
                <w:kern w:val="0"/>
                <w:sz w:val="24"/>
                <w:szCs w:val="24"/>
              </w:rPr>
              <w:t>支持一键遏制功能，可联动网端防护设备使用端网能力一键处置关键实体，实现外部威胁不入内网，关键数据不出内网，保证内网安全。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风险主机分析</w:t>
            </w:r>
          </w:p>
        </w:tc>
        <w:tc>
          <w:tcPr>
            <w:tcW w:w="6379" w:type="dxa"/>
            <w:vAlign w:val="center"/>
          </w:tcPr>
          <w:p>
            <w:pPr>
              <w:widowControl/>
              <w:spacing w:line="300" w:lineRule="auto"/>
              <w:rPr>
                <w:color w:val="0070C0"/>
                <w:kern w:val="0"/>
                <w:sz w:val="24"/>
                <w:szCs w:val="24"/>
              </w:rPr>
            </w:pPr>
            <w:r>
              <w:rPr>
                <w:kern w:val="0"/>
                <w:sz w:val="24"/>
                <w:szCs w:val="24"/>
              </w:rPr>
              <w:t>支持风险资产总览，对包括影响资产、风险等级、威胁标签、资产类型、事件数、漏洞/弱密码攻击面情况、最近检测时间等进行展示。可自定义编辑风险资产统计图。</w:t>
            </w:r>
            <w:r>
              <w:rPr>
                <w:kern w:val="0"/>
                <w:sz w:val="24"/>
                <w:szCs w:val="24"/>
                <w:lang w:eastAsia="zh-Hans"/>
              </w:rPr>
              <w:t>可通过风险等级、标签、重要级别、资产类型、数据源对资产进行筛选。可导出风险资产列表。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告警智能定性</w:t>
            </w:r>
          </w:p>
        </w:tc>
        <w:tc>
          <w:tcPr>
            <w:tcW w:w="6379" w:type="dxa"/>
            <w:vAlign w:val="center"/>
          </w:tcPr>
          <w:p>
            <w:pPr>
              <w:widowControl/>
              <w:spacing w:line="300" w:lineRule="auto"/>
              <w:rPr>
                <w:color w:val="0070C0"/>
                <w:kern w:val="0"/>
                <w:sz w:val="24"/>
                <w:szCs w:val="24"/>
              </w:rPr>
            </w:pPr>
            <w:r>
              <w:rPr>
                <w:kern w:val="0"/>
                <w:sz w:val="24"/>
                <w:szCs w:val="24"/>
              </w:rPr>
              <w:t>支持告警智能定性分析，通过分析告警的上下文关联、时序关系、历史告警发生的频率规律性，结合威胁情报与安全专家经验对当前的安全告警进行目的性确认、从而确认安全告警的优先级顺序，帮助安全人员高效的完成攻击告警的运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资产详情</w:t>
            </w:r>
          </w:p>
        </w:tc>
        <w:tc>
          <w:tcPr>
            <w:tcW w:w="6379" w:type="dxa"/>
            <w:vAlign w:val="center"/>
          </w:tcPr>
          <w:p>
            <w:pPr>
              <w:widowControl/>
              <w:spacing w:line="300" w:lineRule="auto"/>
              <w:rPr>
                <w:kern w:val="0"/>
                <w:sz w:val="24"/>
                <w:szCs w:val="24"/>
                <w:lang w:eastAsia="zh-Hans"/>
              </w:rPr>
            </w:pPr>
            <w:r>
              <w:rPr>
                <w:kern w:val="0"/>
                <w:sz w:val="24"/>
                <w:szCs w:val="24"/>
              </w:rPr>
              <w:t>支持展示资产基础信息、关联IP、</w:t>
            </w:r>
            <w:r>
              <w:rPr>
                <w:kern w:val="0"/>
                <w:sz w:val="24"/>
                <w:szCs w:val="24"/>
                <w:lang w:eastAsia="zh-Hans"/>
              </w:rPr>
              <w:t>操作系统、</w:t>
            </w:r>
            <w:r>
              <w:rPr>
                <w:kern w:val="0"/>
                <w:sz w:val="24"/>
                <w:szCs w:val="24"/>
              </w:rPr>
              <w:t>设备信息、地理位置、资产责任人</w:t>
            </w:r>
            <w:r>
              <w:rPr>
                <w:kern w:val="0"/>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资产清点</w:t>
            </w:r>
          </w:p>
        </w:tc>
        <w:tc>
          <w:tcPr>
            <w:tcW w:w="6379" w:type="dxa"/>
            <w:vAlign w:val="center"/>
          </w:tcPr>
          <w:p>
            <w:pPr>
              <w:widowControl/>
              <w:spacing w:line="300" w:lineRule="auto"/>
              <w:rPr>
                <w:color w:val="0070C0"/>
                <w:kern w:val="0"/>
                <w:sz w:val="24"/>
                <w:szCs w:val="24"/>
              </w:rPr>
            </w:pPr>
            <w:r>
              <w:rPr>
                <w:kern w:val="0"/>
                <w:sz w:val="24"/>
                <w:szCs w:val="24"/>
                <w:lang w:eastAsia="zh-Hans"/>
              </w:rPr>
              <w:t>支持通过开放端口、应用软件、数据库、web服务、web框架、web应用、web站点、账号信息、运行进程、运行服务、启动项、计划任务、注册表维度进行资产清点。清点可展示相关资产列表及资产责任人、数据源。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资产体检</w:t>
            </w:r>
          </w:p>
        </w:tc>
        <w:tc>
          <w:tcPr>
            <w:tcW w:w="6379" w:type="dxa"/>
            <w:vAlign w:val="center"/>
          </w:tcPr>
          <w:p>
            <w:pPr>
              <w:widowControl/>
              <w:spacing w:line="300" w:lineRule="auto"/>
              <w:rPr>
                <w:color w:val="0070C0"/>
                <w:kern w:val="0"/>
                <w:sz w:val="24"/>
                <w:szCs w:val="24"/>
              </w:rPr>
            </w:pPr>
            <w:r>
              <w:rPr>
                <w:kern w:val="0"/>
                <w:sz w:val="24"/>
                <w:szCs w:val="24"/>
                <w:lang w:eastAsia="zh-Hans"/>
              </w:rPr>
              <w:t>根据资产的维度呈现安全事件、安全告警、攻击面风险等多角度呈现问题，结合ATT&amp;CK矩阵更好发现风险资产已知威胁和潜在风险。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封禁地址</w:t>
            </w:r>
          </w:p>
        </w:tc>
        <w:tc>
          <w:tcPr>
            <w:tcW w:w="6379" w:type="dxa"/>
            <w:vAlign w:val="center"/>
          </w:tcPr>
          <w:p>
            <w:pPr>
              <w:widowControl/>
              <w:spacing w:line="300" w:lineRule="auto"/>
              <w:rPr>
                <w:kern w:val="0"/>
                <w:sz w:val="24"/>
                <w:szCs w:val="24"/>
              </w:rPr>
            </w:pPr>
            <w:r>
              <w:rPr>
                <w:kern w:val="0"/>
                <w:sz w:val="24"/>
                <w:szCs w:val="24"/>
              </w:rPr>
              <w:t>支持配置规则可按IP/域名/url联动防火墙设备进行封堵，封禁时长可按天/时/分细粒度进行设置。可对封禁对象进行删除、解封、再次封禁等操作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559" w:type="dxa"/>
            <w:vAlign w:val="center"/>
          </w:tcPr>
          <w:p>
            <w:pPr>
              <w:widowControl/>
              <w:spacing w:line="300" w:lineRule="auto"/>
              <w:rPr>
                <w:kern w:val="0"/>
                <w:sz w:val="24"/>
                <w:szCs w:val="24"/>
              </w:rPr>
            </w:pPr>
            <w:r>
              <w:rPr>
                <w:kern w:val="0"/>
                <w:sz w:val="24"/>
                <w:szCs w:val="24"/>
              </w:rPr>
              <w:t>阻断进程记录</w:t>
            </w:r>
          </w:p>
        </w:tc>
        <w:tc>
          <w:tcPr>
            <w:tcW w:w="6379" w:type="dxa"/>
            <w:vAlign w:val="center"/>
          </w:tcPr>
          <w:p>
            <w:pPr>
              <w:widowControl/>
              <w:spacing w:line="300" w:lineRule="auto"/>
              <w:rPr>
                <w:kern w:val="0"/>
                <w:sz w:val="24"/>
                <w:szCs w:val="24"/>
              </w:rPr>
            </w:pPr>
            <w:r>
              <w:rPr>
                <w:kern w:val="0"/>
                <w:sz w:val="24"/>
                <w:szCs w:val="24"/>
              </w:rPr>
              <w:t>支持阻断进程记录的展示，包括匹配条件、参数、所属资产、关联告警、关联事件等。并支持检索。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559" w:type="dxa"/>
            <w:vAlign w:val="center"/>
          </w:tcPr>
          <w:p>
            <w:pPr>
              <w:widowControl/>
              <w:spacing w:line="300" w:lineRule="auto"/>
              <w:rPr>
                <w:kern w:val="0"/>
                <w:sz w:val="24"/>
                <w:szCs w:val="24"/>
              </w:rPr>
            </w:pPr>
            <w:r>
              <w:rPr>
                <w:kern w:val="0"/>
                <w:sz w:val="24"/>
                <w:szCs w:val="24"/>
              </w:rPr>
              <w:t>拦截域名</w:t>
            </w:r>
          </w:p>
        </w:tc>
        <w:tc>
          <w:tcPr>
            <w:tcW w:w="6379" w:type="dxa"/>
            <w:vAlign w:val="center"/>
          </w:tcPr>
          <w:p>
            <w:pPr>
              <w:widowControl/>
              <w:spacing w:line="300" w:lineRule="auto"/>
              <w:rPr>
                <w:kern w:val="0"/>
                <w:sz w:val="24"/>
                <w:szCs w:val="24"/>
              </w:rPr>
            </w:pPr>
            <w:r>
              <w:rPr>
                <w:kern w:val="0"/>
                <w:sz w:val="24"/>
                <w:szCs w:val="24"/>
              </w:rPr>
              <w:t>支持拦截域名功能，联动EDR/CWPP进行拦截域名，在拦截域名界面可查看拦截域名信息，并且支持取消拦截。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微信推送</w:t>
            </w:r>
          </w:p>
        </w:tc>
        <w:tc>
          <w:tcPr>
            <w:tcW w:w="6379" w:type="dxa"/>
            <w:vAlign w:val="center"/>
          </w:tcPr>
          <w:p>
            <w:pPr>
              <w:widowControl/>
              <w:spacing w:line="300" w:lineRule="auto"/>
              <w:rPr>
                <w:color w:val="0070C0"/>
                <w:kern w:val="0"/>
                <w:sz w:val="24"/>
                <w:szCs w:val="24"/>
              </w:rPr>
            </w:pPr>
            <w:r>
              <w:rPr>
                <w:kern w:val="0"/>
                <w:sz w:val="24"/>
                <w:szCs w:val="24"/>
              </w:rPr>
              <w:t>支持绑定微信公众号，自定义推送内容包括安全事件和热点漏洞事件，有效延缓威胁扩散。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1" w:hRule="atLeast"/>
        </w:trPr>
        <w:tc>
          <w:tcPr>
            <w:tcW w:w="1559" w:type="dxa"/>
            <w:vMerge w:val="restart"/>
            <w:vAlign w:val="center"/>
          </w:tcPr>
          <w:p>
            <w:pPr>
              <w:widowControl/>
              <w:spacing w:line="300" w:lineRule="auto"/>
              <w:rPr>
                <w:kern w:val="0"/>
                <w:sz w:val="24"/>
                <w:szCs w:val="24"/>
              </w:rPr>
            </w:pPr>
            <w:r>
              <w:rPr>
                <w:kern w:val="0"/>
                <w:sz w:val="24"/>
                <w:szCs w:val="24"/>
              </w:rPr>
              <w:t>自定义告警规则</w:t>
            </w:r>
          </w:p>
        </w:tc>
        <w:tc>
          <w:tcPr>
            <w:tcW w:w="6379" w:type="dxa"/>
            <w:vAlign w:val="center"/>
          </w:tcPr>
          <w:p>
            <w:pPr>
              <w:spacing w:line="300" w:lineRule="auto"/>
              <w:rPr>
                <w:kern w:val="0"/>
                <w:sz w:val="24"/>
                <w:szCs w:val="24"/>
              </w:rPr>
            </w:pPr>
            <w:r>
              <w:rPr>
                <w:kern w:val="0"/>
                <w:sz w:val="24"/>
                <w:szCs w:val="24"/>
              </w:rPr>
              <w:t>支持自定义告警规则，基础信息包括规则名称、确定性级别、告警级别、适用系统、ATT&amp;CK、规则描述等。规则定义支持进程创建、文件创建、域名访问、网络连接等。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559" w:type="dxa"/>
            <w:vMerge w:val="continue"/>
            <w:vAlign w:val="center"/>
          </w:tcPr>
          <w:p>
            <w:pPr>
              <w:widowControl/>
              <w:spacing w:line="300" w:lineRule="auto"/>
              <w:rPr>
                <w:kern w:val="0"/>
                <w:sz w:val="24"/>
                <w:szCs w:val="24"/>
              </w:rPr>
            </w:pPr>
          </w:p>
        </w:tc>
        <w:tc>
          <w:tcPr>
            <w:tcW w:w="6379" w:type="dxa"/>
            <w:vAlign w:val="center"/>
          </w:tcPr>
          <w:p>
            <w:pPr>
              <w:spacing w:line="300" w:lineRule="auto"/>
              <w:rPr>
                <w:kern w:val="0"/>
                <w:sz w:val="24"/>
                <w:szCs w:val="24"/>
              </w:rPr>
            </w:pPr>
            <w:r>
              <w:rPr>
                <w:kern w:val="0"/>
                <w:sz w:val="24"/>
                <w:szCs w:val="24"/>
              </w:rPr>
              <w:t>支持新增规则，删除、启用、禁用、编辑已生成的规则。并可以通过生效状态、规则类型、确定性级别、告警级别、名称/规则ID等快速检索自定义的规则。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角色管理</w:t>
            </w:r>
          </w:p>
        </w:tc>
        <w:tc>
          <w:tcPr>
            <w:tcW w:w="6379" w:type="dxa"/>
            <w:vAlign w:val="center"/>
          </w:tcPr>
          <w:p>
            <w:pPr>
              <w:widowControl/>
              <w:spacing w:line="300" w:lineRule="auto"/>
              <w:rPr>
                <w:color w:val="0070C0"/>
                <w:kern w:val="0"/>
                <w:sz w:val="24"/>
                <w:szCs w:val="24"/>
              </w:rPr>
            </w:pPr>
            <w:r>
              <w:rPr>
                <w:kern w:val="0"/>
                <w:sz w:val="24"/>
                <w:szCs w:val="24"/>
              </w:rPr>
              <w:t>支持角色创建和角色分配，内置包括安全管理员、超级管理员、审计管理员、系统管理员角色，可新建角色及配置相关编辑和查看权限。可对账号和角色进行关联，一个账号可以关联多种权限。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二次鉴权</w:t>
            </w:r>
          </w:p>
        </w:tc>
        <w:tc>
          <w:tcPr>
            <w:tcW w:w="6379" w:type="dxa"/>
            <w:vAlign w:val="center"/>
          </w:tcPr>
          <w:p>
            <w:pPr>
              <w:widowControl/>
              <w:spacing w:line="300" w:lineRule="auto"/>
              <w:rPr>
                <w:color w:val="0070C0"/>
                <w:kern w:val="0"/>
                <w:sz w:val="24"/>
                <w:szCs w:val="24"/>
              </w:rPr>
            </w:pPr>
            <w:r>
              <w:rPr>
                <w:kern w:val="0"/>
                <w:sz w:val="24"/>
                <w:szCs w:val="24"/>
              </w:rPr>
              <w:t>针对外部威胁防止规模化的数据丢失、泄露、设备被控制，支持账号二次鉴权、设备管理二次鉴权、弱密码二次鉴权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widowControl/>
              <w:spacing w:line="300" w:lineRule="auto"/>
              <w:rPr>
                <w:kern w:val="0"/>
                <w:sz w:val="24"/>
                <w:szCs w:val="24"/>
              </w:rPr>
            </w:pPr>
            <w:r>
              <w:rPr>
                <w:kern w:val="0"/>
                <w:sz w:val="24"/>
                <w:szCs w:val="24"/>
              </w:rPr>
              <w:t>全局智能调查</w:t>
            </w:r>
          </w:p>
        </w:tc>
        <w:tc>
          <w:tcPr>
            <w:tcW w:w="6379" w:type="dxa"/>
            <w:vAlign w:val="center"/>
          </w:tcPr>
          <w:p>
            <w:pPr>
              <w:widowControl/>
              <w:spacing w:line="300" w:lineRule="auto"/>
              <w:rPr>
                <w:color w:val="0070C0"/>
                <w:kern w:val="0"/>
                <w:sz w:val="24"/>
                <w:szCs w:val="24"/>
              </w:rPr>
            </w:pPr>
            <w:r>
              <w:rPr>
                <w:kern w:val="0"/>
                <w:sz w:val="24"/>
                <w:szCs w:val="24"/>
              </w:rPr>
              <w:t>支持智能调查功能，通过对威胁情报以及威胁实体IP、域名、MD5的检索，自动进行统计分析，提供全局威胁狩猎，进行快速调查溯源。</w:t>
            </w:r>
          </w:p>
        </w:tc>
      </w:tr>
    </w:tbl>
    <w:p>
      <w:pPr>
        <w:pStyle w:val="242"/>
        <w:rPr>
          <w:rFonts w:hint="eastAsia"/>
        </w:rPr>
      </w:pPr>
    </w:p>
    <w:p>
      <w:pPr>
        <w:pStyle w:val="408"/>
        <w:spacing w:line="360" w:lineRule="auto"/>
        <w:ind w:firstLineChars="0"/>
        <w:outlineLvl w:val="1"/>
        <w:rPr>
          <w:b/>
          <w:bCs/>
          <w:sz w:val="24"/>
          <w:szCs w:val="24"/>
        </w:rPr>
      </w:pPr>
      <w:r>
        <w:rPr>
          <w:b/>
          <w:bCs/>
          <w:sz w:val="24"/>
          <w:szCs w:val="24"/>
        </w:rPr>
        <w:t>10、下一代防火墙</w:t>
      </w:r>
    </w:p>
    <w:tbl>
      <w:tblPr>
        <w:tblStyle w:val="42"/>
        <w:tblW w:w="8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FC000"/>
          </w:tcPr>
          <w:p>
            <w:pPr>
              <w:widowControl/>
              <w:spacing w:line="276" w:lineRule="auto"/>
              <w:jc w:val="center"/>
              <w:rPr>
                <w:color w:val="000000"/>
                <w:kern w:val="0"/>
                <w:sz w:val="24"/>
                <w:szCs w:val="24"/>
              </w:rPr>
            </w:pPr>
            <w:r>
              <w:rPr>
                <w:b/>
                <w:kern w:val="0"/>
                <w:sz w:val="24"/>
                <w:szCs w:val="24"/>
              </w:rPr>
              <w:t>技术指标</w:t>
            </w:r>
          </w:p>
        </w:tc>
        <w:tc>
          <w:tcPr>
            <w:tcW w:w="6944" w:type="dxa"/>
            <w:tcBorders>
              <w:top w:val="single" w:color="auto" w:sz="4" w:space="0"/>
              <w:left w:val="single" w:color="auto" w:sz="4" w:space="0"/>
              <w:bottom w:val="single" w:color="auto" w:sz="4" w:space="0"/>
              <w:right w:val="single" w:color="auto" w:sz="4" w:space="0"/>
            </w:tcBorders>
            <w:shd w:val="clear" w:color="auto" w:fill="FFC000"/>
          </w:tcPr>
          <w:p>
            <w:pPr>
              <w:widowControl/>
              <w:spacing w:line="276" w:lineRule="auto"/>
              <w:jc w:val="center"/>
              <w:rPr>
                <w:kern w:val="0"/>
                <w:sz w:val="24"/>
                <w:szCs w:val="24"/>
              </w:rPr>
            </w:pPr>
            <w:r>
              <w:rPr>
                <w:b/>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性能要求</w:t>
            </w: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网络层吞吐量≥15Gbps，应用层吞吐量≥8Gbps，并发连接数≥200万，HTTP新建连接数≥9万。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硬件配置</w:t>
            </w: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内存≥8G，硬盘≥128 G SSD，接口≥8个千兆电口+2万兆光口。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restart"/>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基础网络特性</w:t>
            </w: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bookmarkStart w:id="16" w:name="_Hlk56083575"/>
            <w:r>
              <w:rPr>
                <w:kern w:val="0"/>
                <w:sz w:val="24"/>
                <w:szCs w:val="24"/>
              </w:rPr>
              <w:t>支持路由模式、透明模式、虚拟网线模式、旁路镜像模式等多种部署方式。</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支持链路连通性检查功能，支持基于3种以上协议对链路连通性进行探测，探测协议至少包括DNS解析、ARP探测、PING和BFD等方式。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产品支持IPSec VPN智能选路功能，根据线路质量和应用实现自动链路切换。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支持NAT44、NAT64、NAT66地址转换方式，支持IPv4/IPv6双栈工作模式，以适应IPv6发展趋势。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restart"/>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访问控制</w:t>
            </w: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支持不少于9000种应用的识别和控制，对包括游戏、购物、图书百科、工作招聘、P2P、社交网络、旅游出行、金融交易等类型应用进行检测与控制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支持基于地区维度设置流控策略，实现多区域流量批量快速管控功能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restart"/>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安全防护</w:t>
            </w: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产品支持勒索病毒检测与防御功能，针对勒索病毒攻击设置专项安全策略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产品支持僵尸主机检测功能，产品内置僵尸网络特征库超过128万种，可识别主机的异常外联行为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支持用户账号安全保护功能，包括用户账号多余入口检测、用户账号弱口令检测、用户账号暴力破解检测、失陷账号检测，防止因账号被暴力破解导致的非法提权情况发生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支持CC攻击防护功能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产品支持管控非法、违规网站的访问行为，具备海量的URL分类库。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restart"/>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入侵防御</w:t>
            </w: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产品内置不低于10000种漏洞规则，同时支持在控制台界面通过漏洞ID、漏洞名称、危险等级、漏洞CVE标识、漏洞描述等条件查询漏洞特征信息，支持用户自定义IPS规则。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支持僵尸主机检测功能，产品内置僵尸网络特征库超过130万种，可识别主机的异常外联行为。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联动能力</w:t>
            </w: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产品支持主动诱捕功能，通过伪装业务诱捕内外网的攻击行为，并联合云蜜罐获取黑客指纹信息，并自动封锁高危IP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restart"/>
            <w:tcBorders>
              <w:top w:val="single" w:color="auto" w:sz="4" w:space="0"/>
              <w:left w:val="single" w:color="auto" w:sz="4" w:space="0"/>
              <w:right w:val="single" w:color="auto" w:sz="4" w:space="0"/>
            </w:tcBorders>
          </w:tcPr>
          <w:p>
            <w:pPr>
              <w:widowControl/>
              <w:spacing w:line="276" w:lineRule="auto"/>
              <w:rPr>
                <w:kern w:val="0"/>
                <w:sz w:val="24"/>
                <w:szCs w:val="24"/>
              </w:rPr>
            </w:pPr>
            <w:r>
              <w:rPr>
                <w:kern w:val="0"/>
                <w:sz w:val="24"/>
                <w:szCs w:val="24"/>
              </w:rPr>
              <w:t>策略管理</w:t>
            </w: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产品支持安全策略有效性分析功能，分析内容至少包括策略冗余分析、策略匹配分析、风险端口风险等内容，提供安全策略优化建议。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left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产品支持策略生命周期管理功能，</w:t>
            </w:r>
            <w:r>
              <w:rPr>
                <w:sz w:val="24"/>
                <w:szCs w:val="24"/>
              </w:rPr>
              <w:t>记录安全策略变更时间、变更账号、变更类型等内容，提升日常安全策略运维管理效率</w:t>
            </w:r>
            <w:r>
              <w:rPr>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944"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产品支持管理员双因子认证，可以通过用户密码和Key等不同方式登陆产品管理界面</w:t>
            </w:r>
          </w:p>
        </w:tc>
      </w:tr>
    </w:tbl>
    <w:p>
      <w:pPr>
        <w:pStyle w:val="408"/>
        <w:spacing w:line="360" w:lineRule="auto"/>
        <w:ind w:firstLineChars="0"/>
        <w:outlineLvl w:val="1"/>
        <w:rPr>
          <w:b/>
          <w:bCs/>
          <w:sz w:val="24"/>
          <w:szCs w:val="24"/>
        </w:rPr>
      </w:pPr>
      <w:r>
        <w:rPr>
          <w:b/>
          <w:bCs/>
          <w:sz w:val="24"/>
          <w:szCs w:val="24"/>
        </w:rPr>
        <w:t>11、上网行为管理</w:t>
      </w:r>
    </w:p>
    <w:tbl>
      <w:tblPr>
        <w:tblStyle w:val="4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tcBorders>
              <w:top w:val="single" w:color="auto" w:sz="4" w:space="0"/>
              <w:left w:val="single" w:color="auto" w:sz="4" w:space="0"/>
              <w:bottom w:val="single" w:color="auto" w:sz="4" w:space="0"/>
              <w:right w:val="single" w:color="auto" w:sz="4" w:space="0"/>
            </w:tcBorders>
            <w:shd w:val="clear" w:color="auto" w:fill="FFC000"/>
          </w:tcPr>
          <w:p>
            <w:pPr>
              <w:widowControl/>
              <w:spacing w:line="276" w:lineRule="auto"/>
              <w:jc w:val="center"/>
              <w:rPr>
                <w:sz w:val="24"/>
                <w:szCs w:val="24"/>
                <w:lang w:val="zh-TW" w:eastAsia="zh-TW"/>
              </w:rPr>
            </w:pPr>
            <w:r>
              <w:rPr>
                <w:b/>
                <w:kern w:val="0"/>
                <w:sz w:val="24"/>
                <w:szCs w:val="24"/>
              </w:rPr>
              <w:t>技术指标</w:t>
            </w:r>
          </w:p>
        </w:tc>
        <w:tc>
          <w:tcPr>
            <w:tcW w:w="6682" w:type="dxa"/>
            <w:tcBorders>
              <w:top w:val="single" w:color="auto" w:sz="4" w:space="0"/>
              <w:left w:val="single" w:color="auto" w:sz="4" w:space="0"/>
              <w:bottom w:val="single" w:color="auto" w:sz="4" w:space="0"/>
              <w:right w:val="single" w:color="auto" w:sz="4" w:space="0"/>
            </w:tcBorders>
            <w:shd w:val="clear" w:color="auto" w:fill="FFC000"/>
          </w:tcPr>
          <w:p>
            <w:pPr>
              <w:widowControl/>
              <w:spacing w:line="276" w:lineRule="auto"/>
              <w:jc w:val="center"/>
              <w:rPr>
                <w:sz w:val="24"/>
                <w:szCs w:val="24"/>
                <w:lang w:val="zh-TW" w:eastAsia="zh-TW"/>
              </w:rPr>
            </w:pPr>
            <w:r>
              <w:rPr>
                <w:b/>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lang w:val="zh-TW" w:eastAsia="zh-TW"/>
              </w:rPr>
              <w:t>硬件配置</w:t>
            </w:r>
          </w:p>
        </w:tc>
        <w:tc>
          <w:tcPr>
            <w:tcW w:w="6682"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rPr>
              <w:t>规格2U，</w:t>
            </w:r>
            <w:r>
              <w:rPr>
                <w:kern w:val="0"/>
                <w:sz w:val="24"/>
                <w:szCs w:val="24"/>
                <w:lang w:val="zh-TW" w:eastAsia="zh-TW"/>
              </w:rPr>
              <w:t>内存≥</w:t>
            </w:r>
            <w:r>
              <w:rPr>
                <w:kern w:val="0"/>
                <w:sz w:val="24"/>
                <w:szCs w:val="24"/>
              </w:rPr>
              <w:t xml:space="preserve">8 </w:t>
            </w:r>
            <w:r>
              <w:rPr>
                <w:kern w:val="0"/>
                <w:sz w:val="24"/>
                <w:szCs w:val="24"/>
                <w:lang w:val="zh-TW" w:eastAsia="zh-TW"/>
              </w:rPr>
              <w:t>G</w:t>
            </w:r>
            <w:r>
              <w:rPr>
                <w:kern w:val="0"/>
                <w:sz w:val="24"/>
                <w:szCs w:val="24"/>
              </w:rPr>
              <w:t>B</w:t>
            </w:r>
            <w:r>
              <w:rPr>
                <w:kern w:val="0"/>
                <w:sz w:val="24"/>
                <w:szCs w:val="24"/>
                <w:lang w:val="zh-TW" w:eastAsia="zh-TW"/>
              </w:rPr>
              <w:t>，硬盘≥</w:t>
            </w:r>
            <w:r>
              <w:rPr>
                <w:kern w:val="0"/>
                <w:sz w:val="24"/>
                <w:szCs w:val="24"/>
                <w:lang w:val="zh-TW"/>
              </w:rPr>
              <w:t>1</w:t>
            </w:r>
            <w:r>
              <w:rPr>
                <w:kern w:val="0"/>
                <w:sz w:val="24"/>
                <w:szCs w:val="24"/>
                <w:lang w:val="zh-TW" w:eastAsia="zh-TW"/>
              </w:rPr>
              <w:t>28GB SSD+</w:t>
            </w:r>
            <w:r>
              <w:rPr>
                <w:kern w:val="0"/>
                <w:sz w:val="24"/>
                <w:szCs w:val="24"/>
              </w:rPr>
              <w:t>960GB SSD</w:t>
            </w:r>
            <w:r>
              <w:rPr>
                <w:kern w:val="0"/>
                <w:sz w:val="24"/>
                <w:szCs w:val="24"/>
                <w:lang w:val="zh-TW" w:eastAsia="zh-TW"/>
              </w:rPr>
              <w:t>，冗余电源，</w:t>
            </w:r>
            <w:r>
              <w:rPr>
                <w:kern w:val="0"/>
                <w:sz w:val="24"/>
                <w:szCs w:val="24"/>
              </w:rPr>
              <w:t>接口</w:t>
            </w:r>
            <w:r>
              <w:rPr>
                <w:kern w:val="0"/>
                <w:sz w:val="24"/>
                <w:szCs w:val="24"/>
                <w:lang w:val="zh-TW" w:eastAsia="zh-TW"/>
              </w:rPr>
              <w:t>≥</w:t>
            </w:r>
            <w:r>
              <w:rPr>
                <w:kern w:val="0"/>
                <w:sz w:val="24"/>
                <w:szCs w:val="24"/>
              </w:rPr>
              <w:t>6</w:t>
            </w:r>
            <w:r>
              <w:rPr>
                <w:kern w:val="0"/>
                <w:sz w:val="24"/>
                <w:szCs w:val="24"/>
                <w:lang w:val="zh-TW" w:eastAsia="zh-TW"/>
              </w:rPr>
              <w:t>个千兆电口</w:t>
            </w:r>
            <w:r>
              <w:rPr>
                <w:kern w:val="0"/>
                <w:sz w:val="24"/>
                <w:szCs w:val="24"/>
              </w:rPr>
              <w:t>+2</w:t>
            </w:r>
            <w:r>
              <w:rPr>
                <w:kern w:val="0"/>
                <w:sz w:val="24"/>
                <w:szCs w:val="24"/>
                <w:lang w:val="zh-TW" w:eastAsia="zh-TW"/>
              </w:rPr>
              <w:t>个万兆光口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lang w:val="zh-TW" w:eastAsia="zh-TW"/>
              </w:rPr>
              <w:t>性能指标</w:t>
            </w:r>
          </w:p>
        </w:tc>
        <w:tc>
          <w:tcPr>
            <w:tcW w:w="6682"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rPr>
            </w:pPr>
            <w:r>
              <w:rPr>
                <w:kern w:val="0"/>
                <w:sz w:val="24"/>
                <w:szCs w:val="24"/>
                <w:lang w:val="zh-TW" w:eastAsia="zh-TW"/>
              </w:rPr>
              <w:t>网络层吞吐量≥10Gbps，应用层吞吐量≥1.5</w:t>
            </w:r>
            <w:r>
              <w:rPr>
                <w:kern w:val="0"/>
                <w:sz w:val="24"/>
                <w:szCs w:val="24"/>
              </w:rPr>
              <w:t>G</w:t>
            </w:r>
            <w:r>
              <w:rPr>
                <w:kern w:val="0"/>
                <w:sz w:val="24"/>
                <w:szCs w:val="24"/>
                <w:lang w:val="zh-TW" w:eastAsia="zh-TW"/>
              </w:rPr>
              <w:t>bps，支持用户数≥6000，包转发率≥132Kpps</w:t>
            </w:r>
            <w:r>
              <w:rPr>
                <w:kern w:val="0"/>
                <w:sz w:val="24"/>
                <w:szCs w:val="24"/>
                <w:lang w:val="zh-TW"/>
              </w:rPr>
              <w:t>，</w:t>
            </w:r>
            <w:r>
              <w:rPr>
                <w:kern w:val="0"/>
                <w:sz w:val="24"/>
                <w:szCs w:val="24"/>
                <w:lang w:val="zh-TW" w:eastAsia="zh-TW"/>
              </w:rPr>
              <w:t>每秒新建连接数≥14000，最大并发连接数≥600000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restart"/>
            <w:tcBorders>
              <w:top w:val="single" w:color="auto" w:sz="4" w:space="0"/>
              <w:left w:val="single" w:color="auto" w:sz="4" w:space="0"/>
              <w:right w:val="single" w:color="auto" w:sz="4" w:space="0"/>
            </w:tcBorders>
            <w:vAlign w:val="center"/>
          </w:tcPr>
          <w:p>
            <w:pPr>
              <w:spacing w:line="276" w:lineRule="auto"/>
              <w:rPr>
                <w:kern w:val="0"/>
                <w:sz w:val="24"/>
                <w:szCs w:val="24"/>
                <w:lang w:val="zh-TW" w:eastAsia="zh-TW"/>
              </w:rPr>
            </w:pPr>
            <w:r>
              <w:rPr>
                <w:kern w:val="0"/>
                <w:sz w:val="24"/>
                <w:szCs w:val="24"/>
              </w:rPr>
              <w:t>基础功能</w:t>
            </w:r>
          </w:p>
        </w:tc>
        <w:tc>
          <w:tcPr>
            <w:tcW w:w="6682"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lang w:val="zh-TW" w:eastAsia="zh-TW"/>
              </w:rPr>
            </w:pPr>
            <w:r>
              <w:rPr>
                <w:kern w:val="0"/>
                <w:sz w:val="24"/>
                <w:szCs w:val="24"/>
                <w:lang w:val="zh-TW" w:eastAsia="zh-TW"/>
              </w:rPr>
              <w:t>为适应</w:t>
            </w:r>
            <w:r>
              <w:rPr>
                <w:kern w:val="0"/>
                <w:sz w:val="24"/>
                <w:szCs w:val="24"/>
                <w:lang w:val="zh-TW"/>
              </w:rPr>
              <w:t>i</w:t>
            </w:r>
            <w:r>
              <w:rPr>
                <w:kern w:val="0"/>
                <w:sz w:val="24"/>
                <w:szCs w:val="24"/>
                <w:lang w:val="zh-TW" w:eastAsia="zh-TW"/>
              </w:rPr>
              <w:t>pv6的发展趋势，支持部署在IPv6环境中，设备接口及部署模式均支持ipv6配置，所有核心功能（上网认证、应用控制、流量控制、内容审计、日志报表等）都支持IPv6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top w:val="single" w:color="auto" w:sz="4" w:space="0"/>
              <w:left w:val="single" w:color="auto" w:sz="4" w:space="0"/>
              <w:right w:val="single" w:color="auto" w:sz="4" w:space="0"/>
            </w:tcBorders>
            <w:vAlign w:val="center"/>
          </w:tcPr>
          <w:p>
            <w:pPr>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tcPr>
          <w:p>
            <w:pPr>
              <w:widowControl/>
              <w:spacing w:line="276" w:lineRule="auto"/>
              <w:rPr>
                <w:kern w:val="0"/>
                <w:sz w:val="24"/>
                <w:szCs w:val="24"/>
                <w:lang w:val="zh-TW" w:eastAsia="zh-TW"/>
              </w:rPr>
            </w:pPr>
            <w:r>
              <w:rPr>
                <w:rFonts w:hint="eastAsia"/>
                <w:kern w:val="0"/>
                <w:sz w:val="24"/>
                <w:szCs w:val="24"/>
                <w:lang w:val="zh-TW" w:eastAsia="zh-TW"/>
              </w:rPr>
              <w:t>支持首页分析显示接入用户人数、终端类型；带宽质量分析、实时流量排名；资产类型分布、新设备发现趋势、终端违规检查项排行、终端违规用户排行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38" w:type="dxa"/>
            <w:vMerge w:val="continue"/>
            <w:tcBorders>
              <w:left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lang w:val="zh-TW" w:eastAsia="zh-TW"/>
              </w:rPr>
              <w:t>针对内网用户的</w:t>
            </w:r>
            <w:r>
              <w:rPr>
                <w:kern w:val="0"/>
                <w:sz w:val="24"/>
                <w:szCs w:val="24"/>
              </w:rPr>
              <w:t>W</w:t>
            </w:r>
            <w:r>
              <w:rPr>
                <w:kern w:val="0"/>
                <w:sz w:val="24"/>
                <w:szCs w:val="24"/>
                <w:lang w:val="zh-TW" w:eastAsia="zh-TW"/>
              </w:rPr>
              <w:t>eb访问质量进行检测，对整体网络提供清晰的整体网络质量评级</w:t>
            </w:r>
            <w:r>
              <w:rPr>
                <w:kern w:val="0"/>
                <w:sz w:val="24"/>
                <w:szCs w:val="24"/>
                <w:lang w:val="zh-TW"/>
              </w:rPr>
              <w:t>，</w:t>
            </w:r>
            <w:r>
              <w:rPr>
                <w:kern w:val="0"/>
                <w:sz w:val="24"/>
                <w:szCs w:val="24"/>
              </w:rPr>
              <w:t>同时</w:t>
            </w:r>
            <w:r>
              <w:rPr>
                <w:kern w:val="0"/>
                <w:sz w:val="24"/>
                <w:szCs w:val="24"/>
                <w:lang w:val="zh-TW" w:eastAsia="zh-TW"/>
              </w:rPr>
              <w:t>支持以列表形式展示访问质量差的用户名单</w:t>
            </w:r>
            <w:r>
              <w:rPr>
                <w:kern w:val="0"/>
                <w:sz w:val="24"/>
                <w:szCs w:val="24"/>
                <w:lang w:val="zh-TW"/>
              </w:rPr>
              <w:t>，对单用户进行定向</w:t>
            </w:r>
            <w:r>
              <w:rPr>
                <w:kern w:val="0"/>
                <w:sz w:val="24"/>
                <w:szCs w:val="24"/>
              </w:rPr>
              <w:t>W</w:t>
            </w:r>
            <w:r>
              <w:rPr>
                <w:kern w:val="0"/>
                <w:sz w:val="24"/>
                <w:szCs w:val="24"/>
                <w:lang w:val="zh-TW" w:eastAsia="zh-TW"/>
              </w:rPr>
              <w:t>eb</w:t>
            </w:r>
            <w:r>
              <w:rPr>
                <w:kern w:val="0"/>
                <w:sz w:val="24"/>
                <w:szCs w:val="24"/>
                <w:lang w:val="zh-TW"/>
              </w:rPr>
              <w:t>访问质量检测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rPr>
              <w:t>支持针对特权用户配置免认证key和特权key，特权免key支持免审计和免控制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rPr>
              <w:t>终端管理</w:t>
            </w:r>
          </w:p>
        </w:tc>
        <w:tc>
          <w:tcPr>
            <w:tcW w:w="66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rPr>
              <w:t>支持图形化查看当前内网IP使用情况，帮助管理员减少人工维护IP表的工作量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spacing w:line="276" w:lineRule="auto"/>
              <w:outlineLvl w:val="0"/>
              <w:rPr>
                <w:kern w:val="0"/>
                <w:sz w:val="24"/>
                <w:szCs w:val="24"/>
              </w:rPr>
            </w:pPr>
            <w:r>
              <w:rPr>
                <w:kern w:val="0"/>
                <w:sz w:val="24"/>
                <w:szCs w:val="24"/>
              </w:rPr>
              <w:t>支持对网络接入的终端进行可视化管理，支持查看终端类型分布，以及终端详细信息（IP、MAC、厂商、操作系统、开放端口等）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8" w:type="dxa"/>
            <w:vMerge w:val="restart"/>
            <w:tcBorders>
              <w:top w:val="single" w:color="auto" w:sz="4" w:space="0"/>
              <w:left w:val="single" w:color="auto" w:sz="4" w:space="0"/>
              <w:right w:val="single" w:color="auto" w:sz="4" w:space="0"/>
            </w:tcBorders>
            <w:vAlign w:val="center"/>
          </w:tcPr>
          <w:p>
            <w:pPr>
              <w:widowControl/>
              <w:spacing w:line="276" w:lineRule="auto"/>
              <w:rPr>
                <w:kern w:val="0"/>
                <w:sz w:val="24"/>
                <w:szCs w:val="24"/>
              </w:rPr>
            </w:pPr>
            <w:r>
              <w:rPr>
                <w:rFonts w:hint="eastAsia"/>
                <w:kern w:val="0"/>
                <w:sz w:val="24"/>
                <w:szCs w:val="24"/>
              </w:rPr>
              <w:t>行为管理</w:t>
            </w:r>
          </w:p>
        </w:tc>
        <w:tc>
          <w:tcPr>
            <w:tcW w:w="6682" w:type="dxa"/>
            <w:tcBorders>
              <w:top w:val="single" w:color="auto" w:sz="4" w:space="0"/>
              <w:left w:val="single" w:color="auto" w:sz="4" w:space="0"/>
              <w:bottom w:val="single" w:color="auto" w:sz="4" w:space="0"/>
              <w:right w:val="single" w:color="auto" w:sz="4" w:space="0"/>
            </w:tcBorders>
            <w:vAlign w:val="center"/>
          </w:tcPr>
          <w:p>
            <w:pPr>
              <w:spacing w:line="276" w:lineRule="auto"/>
              <w:outlineLvl w:val="0"/>
              <w:rPr>
                <w:kern w:val="0"/>
                <w:sz w:val="24"/>
                <w:szCs w:val="24"/>
              </w:rPr>
            </w:pPr>
            <w:r>
              <w:rPr>
                <w:rFonts w:hint="eastAsia"/>
                <w:kern w:val="0"/>
                <w:sz w:val="24"/>
                <w:szCs w:val="24"/>
              </w:rPr>
              <w:t>内置海量预分类的URL地址库，能够针对各种URL类型做识别和分类，同时所有URL类型都支持区分“网站浏览”、“文件上传”、“其他上传”、“HTTPS”等细分行为并分别做权限控制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8" w:type="dxa"/>
            <w:vMerge w:val="continue"/>
            <w:tcBorders>
              <w:left w:val="single" w:color="auto" w:sz="4" w:space="0"/>
              <w:right w:val="single" w:color="auto" w:sz="4" w:space="0"/>
            </w:tcBorders>
            <w:vAlign w:val="center"/>
          </w:tcPr>
          <w:p>
            <w:pPr>
              <w:widowControl/>
              <w:spacing w:line="276" w:lineRule="auto"/>
              <w:rPr>
                <w:rFonts w:hint="eastAsia"/>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spacing w:line="276" w:lineRule="auto"/>
              <w:outlineLvl w:val="0"/>
              <w:rPr>
                <w:rFonts w:hint="eastAsia"/>
                <w:kern w:val="0"/>
                <w:sz w:val="24"/>
                <w:szCs w:val="24"/>
              </w:rPr>
            </w:pPr>
            <w:r>
              <w:rPr>
                <w:rFonts w:hint="eastAsia"/>
                <w:kern w:val="0"/>
                <w:sz w:val="24"/>
                <w:szCs w:val="24"/>
              </w:rPr>
              <w:t>设备内置应用识别规则库，支持超过9000条应用规则数、支持超过6000种以上的应用；支持根据标签选择应用，并支持给每个应用自定义标签；支持根据标签选择一类应用做控制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left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spacing w:line="276" w:lineRule="auto"/>
              <w:outlineLvl w:val="0"/>
              <w:rPr>
                <w:kern w:val="0"/>
                <w:sz w:val="24"/>
                <w:szCs w:val="24"/>
              </w:rPr>
            </w:pPr>
            <w:r>
              <w:rPr>
                <w:kern w:val="0"/>
                <w:sz w:val="24"/>
                <w:szCs w:val="24"/>
              </w:rPr>
              <w:t>对SaaS应用有默认分类标签，帮助客户统一配置策略，支持超过200种主流网络会议/办公OA/教育学习应用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left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spacing w:line="276" w:lineRule="auto"/>
              <w:rPr>
                <w:kern w:val="0"/>
                <w:sz w:val="24"/>
                <w:szCs w:val="24"/>
              </w:rPr>
            </w:pPr>
            <w:r>
              <w:rPr>
                <w:kern w:val="0"/>
                <w:sz w:val="24"/>
                <w:szCs w:val="24"/>
                <w:lang w:val="zh-TW" w:eastAsia="zh-TW"/>
              </w:rPr>
              <w:t>能够对teamview、QQ远程桌面等远程控制应用做细分控制，如：接受对方远程控制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left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spacing w:line="276" w:lineRule="auto"/>
              <w:rPr>
                <w:kern w:val="0"/>
                <w:sz w:val="24"/>
                <w:szCs w:val="24"/>
              </w:rPr>
            </w:pPr>
            <w:r>
              <w:rPr>
                <w:kern w:val="0"/>
                <w:sz w:val="24"/>
                <w:szCs w:val="24"/>
                <w:lang w:val="zh-TW" w:eastAsia="zh-TW"/>
              </w:rPr>
              <w:t>支持对移动应用的细分权限控制，微信：微信网页版、微信传文件、微信朋友圈、微信游戏</w:t>
            </w:r>
            <w:r>
              <w:rPr>
                <w:kern w:val="0"/>
                <w:sz w:val="24"/>
                <w:szCs w:val="24"/>
                <w:lang w:val="zh-TW"/>
              </w:rPr>
              <w:t>，</w:t>
            </w:r>
            <w:r>
              <w:rPr>
                <w:kern w:val="0"/>
                <w:sz w:val="24"/>
                <w:szCs w:val="24"/>
                <w:lang w:val="zh-TW" w:eastAsia="zh-TW"/>
              </w:rPr>
              <w:t>QQ：QQ传文件、QQ视频语音等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spacing w:line="276" w:lineRule="auto"/>
              <w:outlineLvl w:val="0"/>
              <w:rPr>
                <w:kern w:val="0"/>
                <w:sz w:val="24"/>
                <w:szCs w:val="24"/>
              </w:rPr>
            </w:pPr>
            <w:r>
              <w:rPr>
                <w:kern w:val="0"/>
                <w:sz w:val="24"/>
                <w:szCs w:val="24"/>
              </w:rPr>
              <w:t>支持代理控制，不允许使用外部HTTP代理，不允许使用外部Sock4/5代理以及不允许在HTTP，SSL一些的标准端口上使用其他协议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color w:val="000000"/>
                <w:sz w:val="24"/>
                <w:szCs w:val="24"/>
              </w:rPr>
              <w:t>流量管理</w:t>
            </w:r>
          </w:p>
        </w:tc>
        <w:tc>
          <w:tcPr>
            <w:tcW w:w="66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rPr>
              <w:t>支持基于用户组、位置、终端类型、URL类型配置流量管控策略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rPr>
              <w:t>支持在设置流量策略后，根据整体线路或者某流量通道内的空闲情况，自动启用和停止使用流量控制策略，以提升带宽的高使用率，空闲值可自定义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rPr>
              <w:t>支持通过抑制P2P的下行丢包，来减缓P2P的下行流量，从而解决网络出口在做流控后仍然压力较大的问题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rPr>
              <w:t>支持把每一个外网IP作为通道内的用户，使得通道的用户间公平分配带宽，以及单用户最高带宽属性对外网IP有效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p>
        </w:tc>
        <w:tc>
          <w:tcPr>
            <w:tcW w:w="66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kern w:val="0"/>
                <w:sz w:val="24"/>
                <w:szCs w:val="24"/>
              </w:rPr>
            </w:pPr>
            <w:r>
              <w:rPr>
                <w:kern w:val="0"/>
                <w:sz w:val="24"/>
                <w:szCs w:val="24"/>
              </w:rPr>
              <w:t xml:space="preserve">基于“流量”、“流速”、“时长”设置配额，当配额耗尽后，将用户加入到指定的流控黑名单惩罚通道中 </w:t>
            </w:r>
          </w:p>
        </w:tc>
      </w:tr>
    </w:tbl>
    <w:p>
      <w:pPr>
        <w:pStyle w:val="2"/>
        <w:ind w:firstLine="0"/>
      </w:pPr>
    </w:p>
    <w:p>
      <w:pPr>
        <w:spacing w:line="440" w:lineRule="exact"/>
        <w:ind w:firstLine="482" w:firstLineChars="200"/>
        <w:jc w:val="left"/>
        <w:rPr>
          <w:b/>
          <w:sz w:val="24"/>
          <w:szCs w:val="24"/>
        </w:rPr>
      </w:pPr>
      <w:r>
        <w:rPr>
          <w:b/>
          <w:sz w:val="24"/>
          <w:szCs w:val="24"/>
        </w:rPr>
        <w:t>三、服务要求</w:t>
      </w:r>
    </w:p>
    <w:p>
      <w:pPr>
        <w:spacing w:line="440" w:lineRule="exact"/>
        <w:ind w:firstLine="480" w:firstLineChars="200"/>
        <w:rPr>
          <w:sz w:val="24"/>
          <w:szCs w:val="24"/>
        </w:rPr>
      </w:pPr>
      <w:r>
        <w:rPr>
          <w:sz w:val="24"/>
          <w:szCs w:val="24"/>
        </w:rPr>
        <w:t>1.工期：30天。</w:t>
      </w:r>
    </w:p>
    <w:p>
      <w:pPr>
        <w:spacing w:line="440" w:lineRule="exact"/>
        <w:ind w:firstLine="480" w:firstLineChars="200"/>
        <w:rPr>
          <w:sz w:val="24"/>
          <w:szCs w:val="24"/>
        </w:rPr>
      </w:pPr>
      <w:r>
        <w:rPr>
          <w:sz w:val="24"/>
          <w:szCs w:val="24"/>
        </w:rPr>
        <w:t>2.服务内容和要求：</w:t>
      </w:r>
    </w:p>
    <w:p>
      <w:pPr>
        <w:spacing w:line="440" w:lineRule="exact"/>
        <w:ind w:firstLine="480" w:firstLineChars="200"/>
        <w:rPr>
          <w:sz w:val="24"/>
          <w:szCs w:val="24"/>
        </w:rPr>
      </w:pPr>
      <w:r>
        <w:rPr>
          <w:sz w:val="24"/>
          <w:szCs w:val="24"/>
        </w:rPr>
        <w:t>（1）服务期：一年（从安全服务产品投放部署到位验收之日起计）。服务期满后，服务期间投放的相关安全设备必须承诺免费延用半年，以确保采购人安全服务交接期的基本网络安全和日常工作更好地延续。</w:t>
      </w:r>
    </w:p>
    <w:p>
      <w:pPr>
        <w:spacing w:line="440" w:lineRule="exact"/>
        <w:ind w:firstLine="480" w:firstLineChars="200"/>
        <w:rPr>
          <w:sz w:val="24"/>
          <w:szCs w:val="24"/>
        </w:rPr>
      </w:pPr>
      <w:r>
        <w:rPr>
          <w:sz w:val="24"/>
          <w:szCs w:val="24"/>
        </w:rPr>
        <w:t>投标人需指定一名主要联系人及两名替补联系人与采购人联系。一旦接到采购人请求电话，投标人的技术人员将在规定时间内通过远程解决或上门服务。若投标人指定工程师如果因特殊原因离职或更换电话，及时通知采购人，并指定合格的接替人员。</w:t>
      </w:r>
    </w:p>
    <w:p>
      <w:pPr>
        <w:spacing w:line="440" w:lineRule="exact"/>
        <w:ind w:firstLine="480" w:firstLineChars="200"/>
        <w:rPr>
          <w:sz w:val="24"/>
          <w:szCs w:val="24"/>
        </w:rPr>
      </w:pPr>
      <w:r>
        <w:rPr>
          <w:sz w:val="24"/>
          <w:szCs w:val="24"/>
        </w:rPr>
        <w:t>（2）投标人须有良好的售后服务能力，设有售后服务机构和设施，并配备受过专业培训的售后服务人员，能够保证售后的速度和质量，维修工程师为制造商或销售商在职人员。提供全年7天24小时服务（电话、远程或现场），响应时间：30分钟内电话响应，4小时内到达现场。</w:t>
      </w:r>
    </w:p>
    <w:p>
      <w:pPr>
        <w:spacing w:line="440" w:lineRule="exact"/>
        <w:ind w:firstLine="480" w:firstLineChars="200"/>
        <w:rPr>
          <w:sz w:val="24"/>
          <w:szCs w:val="24"/>
        </w:rPr>
      </w:pPr>
      <w:r>
        <w:rPr>
          <w:sz w:val="24"/>
          <w:szCs w:val="24"/>
        </w:rPr>
        <w:t>（3）驻点巡访：每周服务工程师需到客户巡更系统打卡，驻点一天，完成安全日志分析、设备运营情况、问题处置及其巡检报告；</w:t>
      </w:r>
    </w:p>
    <w:p>
      <w:pPr>
        <w:spacing w:line="440" w:lineRule="exact"/>
        <w:ind w:firstLine="480" w:firstLineChars="200"/>
        <w:rPr>
          <w:sz w:val="24"/>
          <w:szCs w:val="24"/>
        </w:rPr>
      </w:pPr>
      <w:r>
        <w:rPr>
          <w:sz w:val="24"/>
          <w:szCs w:val="24"/>
        </w:rPr>
        <w:t>每月需做好巡检以及巡更系统打卡；</w:t>
      </w:r>
    </w:p>
    <w:p>
      <w:pPr>
        <w:spacing w:line="440" w:lineRule="exact"/>
        <w:ind w:firstLine="480" w:firstLineChars="200"/>
        <w:rPr>
          <w:sz w:val="24"/>
          <w:szCs w:val="24"/>
        </w:rPr>
      </w:pPr>
      <w:r>
        <w:rPr>
          <w:sz w:val="24"/>
          <w:szCs w:val="24"/>
        </w:rPr>
        <w:t>每月销售管理负责人及其以上2个工程师需要召开月度会议，总结一月安全汇总工作；</w:t>
      </w:r>
    </w:p>
    <w:p>
      <w:pPr>
        <w:spacing w:line="440" w:lineRule="exact"/>
        <w:ind w:firstLine="480" w:firstLineChars="200"/>
        <w:rPr>
          <w:sz w:val="24"/>
          <w:szCs w:val="24"/>
        </w:rPr>
      </w:pPr>
      <w:r>
        <w:rPr>
          <w:sz w:val="24"/>
          <w:szCs w:val="24"/>
        </w:rPr>
        <w:t>重要时期驻点服务：重要时期如两会、亚运会等重大日期需要驻点现场。</w:t>
      </w:r>
    </w:p>
    <w:p>
      <w:pPr>
        <w:spacing w:line="440" w:lineRule="exact"/>
        <w:ind w:firstLine="480" w:firstLineChars="200"/>
        <w:rPr>
          <w:sz w:val="24"/>
          <w:szCs w:val="24"/>
        </w:rPr>
      </w:pPr>
      <w:r>
        <w:rPr>
          <w:sz w:val="24"/>
          <w:szCs w:val="24"/>
        </w:rPr>
        <w:t>（4）遇到安全事情处置（不限次数）：</w:t>
      </w:r>
    </w:p>
    <w:p>
      <w:pPr>
        <w:spacing w:line="440" w:lineRule="exact"/>
        <w:ind w:firstLine="480" w:firstLineChars="200"/>
        <w:rPr>
          <w:sz w:val="24"/>
          <w:szCs w:val="24"/>
        </w:rPr>
      </w:pPr>
      <w:r>
        <w:rPr>
          <w:sz w:val="24"/>
          <w:szCs w:val="24"/>
        </w:rPr>
        <w:t>对于关键性问题（影响采购人业务正常运作的故障）</w:t>
      </w:r>
    </w:p>
    <w:p>
      <w:pPr>
        <w:spacing w:line="440" w:lineRule="exact"/>
        <w:ind w:firstLine="480" w:firstLineChars="200"/>
        <w:rPr>
          <w:sz w:val="24"/>
          <w:szCs w:val="24"/>
        </w:rPr>
      </w:pPr>
      <w:r>
        <w:rPr>
          <w:sz w:val="24"/>
          <w:szCs w:val="24"/>
        </w:rPr>
        <w:t>响应时间：1～20分钟；</w:t>
      </w:r>
    </w:p>
    <w:p>
      <w:pPr>
        <w:spacing w:line="440" w:lineRule="exact"/>
        <w:ind w:firstLine="480" w:firstLineChars="200"/>
        <w:rPr>
          <w:sz w:val="24"/>
          <w:szCs w:val="24"/>
        </w:rPr>
      </w:pPr>
      <w:r>
        <w:rPr>
          <w:sz w:val="24"/>
          <w:szCs w:val="24"/>
        </w:rPr>
        <w:t>到场时间：工作时间半小时内到达现场；节假日以及休息时间1小时到达现场；</w:t>
      </w:r>
    </w:p>
    <w:p>
      <w:pPr>
        <w:spacing w:line="440" w:lineRule="exact"/>
        <w:ind w:firstLine="480" w:firstLineChars="200"/>
        <w:rPr>
          <w:sz w:val="24"/>
          <w:szCs w:val="24"/>
        </w:rPr>
      </w:pPr>
      <w:r>
        <w:rPr>
          <w:sz w:val="24"/>
          <w:szCs w:val="24"/>
        </w:rPr>
        <w:t>修复时间：3小时内修复。</w:t>
      </w:r>
    </w:p>
    <w:p>
      <w:pPr>
        <w:spacing w:line="440" w:lineRule="exact"/>
        <w:ind w:firstLine="480" w:firstLineChars="200"/>
        <w:rPr>
          <w:sz w:val="24"/>
          <w:szCs w:val="24"/>
        </w:rPr>
      </w:pPr>
      <w:r>
        <w:rPr>
          <w:sz w:val="24"/>
          <w:szCs w:val="24"/>
        </w:rPr>
        <w:t>对于一般问题（不影响采购人业务正常运作的故障）</w:t>
      </w:r>
    </w:p>
    <w:p>
      <w:pPr>
        <w:spacing w:line="440" w:lineRule="exact"/>
        <w:ind w:firstLine="480" w:firstLineChars="200"/>
        <w:rPr>
          <w:sz w:val="24"/>
          <w:szCs w:val="24"/>
        </w:rPr>
      </w:pPr>
      <w:r>
        <w:rPr>
          <w:sz w:val="24"/>
          <w:szCs w:val="24"/>
        </w:rPr>
        <w:t>响应时间：1～20分钟；</w:t>
      </w:r>
    </w:p>
    <w:p>
      <w:pPr>
        <w:spacing w:line="440" w:lineRule="exact"/>
        <w:ind w:firstLine="480" w:firstLineChars="200"/>
        <w:rPr>
          <w:sz w:val="24"/>
          <w:szCs w:val="24"/>
        </w:rPr>
      </w:pPr>
      <w:r>
        <w:rPr>
          <w:sz w:val="24"/>
          <w:szCs w:val="24"/>
        </w:rPr>
        <w:t>到场时间：1小时内到达现场；</w:t>
      </w:r>
    </w:p>
    <w:p>
      <w:pPr>
        <w:spacing w:line="440" w:lineRule="exact"/>
        <w:ind w:firstLine="480" w:firstLineChars="200"/>
        <w:rPr>
          <w:sz w:val="24"/>
          <w:szCs w:val="24"/>
        </w:rPr>
      </w:pPr>
      <w:r>
        <w:rPr>
          <w:sz w:val="24"/>
          <w:szCs w:val="24"/>
        </w:rPr>
        <w:t>修复时间：8小时内修复。</w:t>
      </w:r>
    </w:p>
    <w:p>
      <w:pPr>
        <w:numPr>
          <w:ilvl w:val="0"/>
          <w:numId w:val="3"/>
        </w:numPr>
        <w:spacing w:line="440" w:lineRule="exact"/>
        <w:ind w:firstLine="480" w:firstLineChars="200"/>
        <w:rPr>
          <w:rFonts w:hint="eastAsia" w:ascii="宋体" w:hAnsi="宋体" w:eastAsia="宋体" w:cs="Times New Roman"/>
          <w:b/>
          <w:bCs/>
          <w:color w:val="auto"/>
          <w:kern w:val="2"/>
          <w:sz w:val="24"/>
          <w:szCs w:val="24"/>
          <w:lang w:val="en-US" w:eastAsia="zh-CN" w:bidi="ar-SA"/>
        </w:rPr>
      </w:pPr>
      <w:r>
        <w:rPr>
          <w:color w:val="auto"/>
          <w:sz w:val="24"/>
          <w:szCs w:val="24"/>
        </w:rPr>
        <w:t>培训：</w:t>
      </w:r>
      <w:bookmarkStart w:id="17" w:name="_Toc187137025"/>
      <w:r>
        <w:rPr>
          <w:color w:val="auto"/>
          <w:sz w:val="24"/>
          <w:szCs w:val="24"/>
        </w:rPr>
        <w:t>免费为采购人院内管理人员、技术人员、使用人员提供培训。投标人将详细的培训课程以及时间表交给采购人，最后以采购人认可为准。</w:t>
      </w:r>
      <w:bookmarkEnd w:id="17"/>
    </w:p>
    <w:p>
      <w:pPr>
        <w:numPr>
          <w:ilvl w:val="0"/>
          <w:numId w:val="3"/>
        </w:numPr>
        <w:spacing w:line="440" w:lineRule="exact"/>
        <w:ind w:firstLine="482" w:firstLineChars="200"/>
        <w:rPr>
          <w:rFonts w:ascii="宋体" w:hAnsi="宋体"/>
          <w:b/>
          <w:bCs/>
          <w:color w:val="C00000"/>
          <w:sz w:val="24"/>
          <w:szCs w:val="24"/>
        </w:rPr>
      </w:pPr>
      <w:r>
        <w:rPr>
          <w:rFonts w:hint="eastAsia" w:ascii="宋体" w:hAnsi="宋体" w:eastAsia="宋体" w:cs="Times New Roman"/>
          <w:b/>
          <w:bCs/>
          <w:color w:val="C00000"/>
          <w:kern w:val="2"/>
          <w:sz w:val="24"/>
          <w:szCs w:val="24"/>
          <w:lang w:val="en-US" w:eastAsia="zh-CN" w:bidi="ar-SA"/>
        </w:rPr>
        <w:t>完成网络安全相关的全资产梳理工作</w:t>
      </w:r>
      <w:r>
        <w:rPr>
          <w:rFonts w:hint="eastAsia" w:ascii="宋体" w:hAnsi="宋体" w:cs="Times New Roman"/>
          <w:b/>
          <w:bCs/>
          <w:color w:val="C00000"/>
          <w:kern w:val="2"/>
          <w:sz w:val="24"/>
          <w:szCs w:val="24"/>
          <w:lang w:val="en-US" w:eastAsia="zh-CN" w:bidi="ar-SA"/>
        </w:rPr>
        <w:t>。</w:t>
      </w:r>
    </w:p>
    <w:p>
      <w:pPr>
        <w:numPr>
          <w:ilvl w:val="0"/>
          <w:numId w:val="3"/>
        </w:numPr>
        <w:spacing w:line="440" w:lineRule="exact"/>
        <w:ind w:firstLine="482" w:firstLineChars="200"/>
        <w:rPr>
          <w:color w:val="C00000"/>
          <w:sz w:val="24"/>
          <w:szCs w:val="24"/>
        </w:rPr>
      </w:pPr>
      <w:r>
        <w:rPr>
          <w:rFonts w:hint="eastAsia" w:ascii="宋体" w:hAnsi="宋体" w:eastAsia="宋体" w:cs="Times New Roman"/>
          <w:b/>
          <w:bCs/>
          <w:color w:val="C00000"/>
          <w:kern w:val="2"/>
          <w:sz w:val="24"/>
          <w:szCs w:val="24"/>
          <w:lang w:val="en-US" w:eastAsia="zh-CN" w:bidi="ar-SA"/>
        </w:rPr>
        <w:t>制定完善的网络安全制度</w:t>
      </w:r>
      <w:r>
        <w:rPr>
          <w:rFonts w:hint="eastAsia" w:ascii="宋体" w:hAnsi="宋体" w:cs="Times New Roman"/>
          <w:b/>
          <w:bCs/>
          <w:color w:val="C00000"/>
          <w:kern w:val="2"/>
          <w:sz w:val="24"/>
          <w:szCs w:val="24"/>
          <w:lang w:val="en-US" w:eastAsia="zh-CN" w:bidi="ar-SA"/>
        </w:rPr>
        <w:t>、</w:t>
      </w:r>
      <w:r>
        <w:rPr>
          <w:rFonts w:hint="eastAsia" w:ascii="宋体" w:hAnsi="宋体" w:eastAsia="宋体" w:cs="Times New Roman"/>
          <w:b/>
          <w:bCs/>
          <w:color w:val="C00000"/>
          <w:kern w:val="2"/>
          <w:sz w:val="24"/>
          <w:szCs w:val="24"/>
          <w:lang w:val="en-US" w:eastAsia="zh-CN" w:bidi="ar-SA"/>
        </w:rPr>
        <w:t>网络安全闭环管理流程</w:t>
      </w:r>
      <w:r>
        <w:rPr>
          <w:rFonts w:hint="eastAsia" w:ascii="宋体" w:hAnsi="宋体" w:cs="Times New Roman"/>
          <w:b/>
          <w:bCs/>
          <w:color w:val="C00000"/>
          <w:kern w:val="2"/>
          <w:sz w:val="24"/>
          <w:szCs w:val="24"/>
          <w:lang w:val="en-US" w:eastAsia="zh-CN" w:bidi="ar-SA"/>
        </w:rPr>
        <w:t>、月度网络安全评价体系。</w:t>
      </w:r>
    </w:p>
    <w:p>
      <w:pPr>
        <w:numPr>
          <w:ilvl w:val="0"/>
          <w:numId w:val="3"/>
        </w:numPr>
        <w:spacing w:line="440" w:lineRule="exact"/>
        <w:ind w:firstLine="480" w:firstLineChars="200"/>
        <w:rPr>
          <w:sz w:val="24"/>
          <w:szCs w:val="24"/>
        </w:rPr>
      </w:pPr>
      <w:r>
        <w:rPr>
          <w:sz w:val="24"/>
          <w:szCs w:val="24"/>
        </w:rPr>
        <w:t>其他要求：承诺确保采购人的网络安全达到《网络安全等级保护2.0》测评标准。</w:t>
      </w:r>
    </w:p>
    <w:p>
      <w:pPr>
        <w:spacing w:line="440" w:lineRule="exact"/>
        <w:ind w:firstLine="482" w:firstLineChars="200"/>
        <w:rPr>
          <w:b/>
          <w:sz w:val="24"/>
          <w:szCs w:val="24"/>
        </w:rPr>
      </w:pPr>
      <w:r>
        <w:rPr>
          <w:b/>
          <w:sz w:val="24"/>
          <w:szCs w:val="24"/>
        </w:rPr>
        <w:t>四、付款方式</w:t>
      </w:r>
    </w:p>
    <w:p>
      <w:pPr>
        <w:spacing w:line="440" w:lineRule="exact"/>
        <w:ind w:firstLine="480" w:firstLineChars="200"/>
        <w:rPr>
          <w:sz w:val="24"/>
          <w:szCs w:val="24"/>
        </w:rPr>
      </w:pPr>
      <w:r>
        <w:rPr>
          <w:sz w:val="24"/>
          <w:szCs w:val="24"/>
        </w:rPr>
        <w:t>1.服务期满半年且未发生重大安全问题支付合同金额的50%，服务期满且未发生重大安全问题并提交采购人验收签字确认的维护报告后支付剩余金额。</w:t>
      </w:r>
    </w:p>
    <w:p>
      <w:pPr>
        <w:spacing w:line="440" w:lineRule="exact"/>
        <w:ind w:firstLine="480" w:firstLineChars="200"/>
        <w:rPr>
          <w:sz w:val="24"/>
          <w:szCs w:val="24"/>
        </w:rPr>
      </w:pPr>
      <w:r>
        <w:rPr>
          <w:sz w:val="24"/>
          <w:szCs w:val="24"/>
        </w:rPr>
        <w:t>2.投标人须提供正式的税务发票并凭税务发票付款。</w:t>
      </w:r>
    </w:p>
    <w:p>
      <w:pPr>
        <w:spacing w:line="440" w:lineRule="exact"/>
        <w:ind w:firstLine="480" w:firstLineChars="200"/>
      </w:pPr>
      <w:r>
        <w:rPr>
          <w:sz w:val="24"/>
          <w:szCs w:val="24"/>
        </w:rPr>
        <w:t>3.一年服务期满后，甲乙双方无异议可续签1~2年合同，续签期间服务费用及服务内容不变，合同每年一签。</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 w:name="幼圆">
    <w:altName w:val="宋体"/>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微软雅黑 Light">
    <w:altName w:val="黑体"/>
    <w:panose1 w:val="020B0502040204020203"/>
    <w:charset w:val="86"/>
    <w:family w:val="swiss"/>
    <w:pitch w:val="default"/>
    <w:sig w:usb0="00000000" w:usb1="00000000" w:usb2="00000016" w:usb3="00000000" w:csb0="0004001F" w:csb1="00000000"/>
  </w:font>
  <w:font w:name="全真中明體">
    <w:altName w:val="MingLiU-ExtB"/>
    <w:panose1 w:val="00000000000000000000"/>
    <w:charset w:val="88"/>
    <w:family w:val="modern"/>
    <w:pitch w:val="default"/>
    <w:sig w:usb0="00000000" w:usb1="00000000" w:usb2="00000010" w:usb3="00000000" w:csb0="00100000" w:csb1="00000000"/>
  </w:font>
  <w:font w:name="Georgia">
    <w:panose1 w:val="02040502050405020303"/>
    <w:charset w:val="00"/>
    <w:family w:val="roman"/>
    <w:pitch w:val="default"/>
    <w:sig w:usb0="00000287" w:usb1="00000000" w:usb2="00000000" w:usb3="00000000" w:csb0="2000009F" w:csb1="00000000"/>
  </w:font>
  <w:font w:name="Arial Narrow">
    <w:altName w:val="Arial"/>
    <w:panose1 w:val="020B0606020202030204"/>
    <w:charset w:val="00"/>
    <w:family w:val="swiss"/>
    <w:pitch w:val="default"/>
    <w:sig w:usb0="00000000" w:usb1="00000000" w:usb2="00000000" w:usb3="00000000" w:csb0="0000009F" w:csb1="00000000"/>
  </w:font>
  <w:font w:name="@(使用中文字体)">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41</w:t>
    </w:r>
    <w:r>
      <w:fldChar w:fldCharType="end"/>
    </w:r>
  </w:p>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F836E"/>
    <w:multiLevelType w:val="singleLevel"/>
    <w:tmpl w:val="8DDF836E"/>
    <w:lvl w:ilvl="0" w:tentative="0">
      <w:start w:val="3"/>
      <w:numFmt w:val="chineseCounting"/>
      <w:pStyle w:val="343"/>
      <w:suff w:val="nothing"/>
      <w:lvlText w:val="（%1）"/>
      <w:lvlJc w:val="left"/>
      <w:pPr>
        <w:ind w:left="120" w:firstLine="0"/>
      </w:pPr>
      <w:rPr>
        <w:rFonts w:hint="eastAsia"/>
      </w:rPr>
    </w:lvl>
  </w:abstractNum>
  <w:abstractNum w:abstractNumId="1">
    <w:nsid w:val="71662365"/>
    <w:multiLevelType w:val="multilevel"/>
    <w:tmpl w:val="71662365"/>
    <w:lvl w:ilvl="0" w:tentative="0">
      <w:start w:val="1"/>
      <w:numFmt w:val="decimal"/>
      <w:pStyle w:val="333"/>
      <w:lvlText w:val="%1."/>
      <w:lvlJc w:val="left"/>
      <w:pPr>
        <w:ind w:left="105" w:hanging="322"/>
      </w:pPr>
      <w:rPr>
        <w:rFonts w:hint="default" w:ascii="仿宋" w:hAnsi="仿宋" w:eastAsia="仿宋" w:cs="仿宋"/>
        <w:spacing w:val="-46"/>
        <w:w w:val="99"/>
        <w:sz w:val="30"/>
        <w:szCs w:val="30"/>
      </w:rPr>
    </w:lvl>
    <w:lvl w:ilvl="1" w:tentative="0">
      <w:start w:val="0"/>
      <w:numFmt w:val="bullet"/>
      <w:lvlText w:val="•"/>
      <w:lvlJc w:val="left"/>
      <w:pPr>
        <w:ind w:left="968" w:hanging="322"/>
      </w:pPr>
      <w:rPr>
        <w:rFonts w:hint="default"/>
      </w:rPr>
    </w:lvl>
    <w:lvl w:ilvl="2" w:tentative="0">
      <w:start w:val="0"/>
      <w:numFmt w:val="bullet"/>
      <w:lvlText w:val="•"/>
      <w:lvlJc w:val="left"/>
      <w:pPr>
        <w:ind w:left="1837" w:hanging="322"/>
      </w:pPr>
      <w:rPr>
        <w:rFonts w:hint="default"/>
      </w:rPr>
    </w:lvl>
    <w:lvl w:ilvl="3" w:tentative="0">
      <w:start w:val="0"/>
      <w:numFmt w:val="bullet"/>
      <w:lvlText w:val="•"/>
      <w:lvlJc w:val="left"/>
      <w:pPr>
        <w:ind w:left="2705" w:hanging="322"/>
      </w:pPr>
      <w:rPr>
        <w:rFonts w:hint="default"/>
      </w:rPr>
    </w:lvl>
    <w:lvl w:ilvl="4" w:tentative="0">
      <w:start w:val="0"/>
      <w:numFmt w:val="bullet"/>
      <w:lvlText w:val="•"/>
      <w:lvlJc w:val="left"/>
      <w:pPr>
        <w:ind w:left="3574" w:hanging="322"/>
      </w:pPr>
      <w:rPr>
        <w:rFonts w:hint="default"/>
      </w:rPr>
    </w:lvl>
    <w:lvl w:ilvl="5" w:tentative="0">
      <w:start w:val="0"/>
      <w:numFmt w:val="bullet"/>
      <w:lvlText w:val="•"/>
      <w:lvlJc w:val="left"/>
      <w:pPr>
        <w:ind w:left="4443" w:hanging="322"/>
      </w:pPr>
      <w:rPr>
        <w:rFonts w:hint="default"/>
      </w:rPr>
    </w:lvl>
    <w:lvl w:ilvl="6" w:tentative="0">
      <w:start w:val="0"/>
      <w:numFmt w:val="bullet"/>
      <w:lvlText w:val="•"/>
      <w:lvlJc w:val="left"/>
      <w:pPr>
        <w:ind w:left="5311" w:hanging="322"/>
      </w:pPr>
      <w:rPr>
        <w:rFonts w:hint="default"/>
      </w:rPr>
    </w:lvl>
    <w:lvl w:ilvl="7" w:tentative="0">
      <w:start w:val="0"/>
      <w:numFmt w:val="bullet"/>
      <w:lvlText w:val="•"/>
      <w:lvlJc w:val="left"/>
      <w:pPr>
        <w:ind w:left="6180" w:hanging="322"/>
      </w:pPr>
      <w:rPr>
        <w:rFonts w:hint="default"/>
      </w:rPr>
    </w:lvl>
    <w:lvl w:ilvl="8" w:tentative="0">
      <w:start w:val="0"/>
      <w:numFmt w:val="bullet"/>
      <w:lvlText w:val="•"/>
      <w:lvlJc w:val="left"/>
      <w:pPr>
        <w:ind w:left="7048" w:hanging="322"/>
      </w:pPr>
      <w:rPr>
        <w:rFonts w:hint="default"/>
      </w:rPr>
    </w:lvl>
  </w:abstractNum>
  <w:abstractNum w:abstractNumId="2">
    <w:nsid w:val="79778A3C"/>
    <w:multiLevelType w:val="singleLevel"/>
    <w:tmpl w:val="79778A3C"/>
    <w:lvl w:ilvl="0" w:tentative="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12D"/>
    <w:rsid w:val="00005E66"/>
    <w:rsid w:val="00006502"/>
    <w:rsid w:val="00020041"/>
    <w:rsid w:val="00020ECD"/>
    <w:rsid w:val="00023084"/>
    <w:rsid w:val="00023249"/>
    <w:rsid w:val="00025CFE"/>
    <w:rsid w:val="000302D2"/>
    <w:rsid w:val="00030E82"/>
    <w:rsid w:val="0003149D"/>
    <w:rsid w:val="00031E08"/>
    <w:rsid w:val="00031F78"/>
    <w:rsid w:val="0003201B"/>
    <w:rsid w:val="00033A7E"/>
    <w:rsid w:val="00045D03"/>
    <w:rsid w:val="00050E4C"/>
    <w:rsid w:val="00051100"/>
    <w:rsid w:val="00051AB2"/>
    <w:rsid w:val="0005312A"/>
    <w:rsid w:val="00055F4F"/>
    <w:rsid w:val="000605BD"/>
    <w:rsid w:val="000644CA"/>
    <w:rsid w:val="00064E33"/>
    <w:rsid w:val="0006670B"/>
    <w:rsid w:val="000708A7"/>
    <w:rsid w:val="000735BF"/>
    <w:rsid w:val="00075515"/>
    <w:rsid w:val="000763B3"/>
    <w:rsid w:val="00092A46"/>
    <w:rsid w:val="00095379"/>
    <w:rsid w:val="000977F2"/>
    <w:rsid w:val="000A5548"/>
    <w:rsid w:val="000B1683"/>
    <w:rsid w:val="000B6374"/>
    <w:rsid w:val="000C22F6"/>
    <w:rsid w:val="000C28DC"/>
    <w:rsid w:val="000C73A9"/>
    <w:rsid w:val="000C7BEA"/>
    <w:rsid w:val="000E0DA3"/>
    <w:rsid w:val="000E33A8"/>
    <w:rsid w:val="000E374F"/>
    <w:rsid w:val="000E7C69"/>
    <w:rsid w:val="000F0552"/>
    <w:rsid w:val="000F0F93"/>
    <w:rsid w:val="0010283F"/>
    <w:rsid w:val="0010319F"/>
    <w:rsid w:val="00111702"/>
    <w:rsid w:val="00111BA1"/>
    <w:rsid w:val="001176E8"/>
    <w:rsid w:val="00121645"/>
    <w:rsid w:val="001237ED"/>
    <w:rsid w:val="00130B20"/>
    <w:rsid w:val="001341F4"/>
    <w:rsid w:val="00137A9F"/>
    <w:rsid w:val="00142F75"/>
    <w:rsid w:val="00146570"/>
    <w:rsid w:val="00151058"/>
    <w:rsid w:val="00151490"/>
    <w:rsid w:val="00152429"/>
    <w:rsid w:val="00156653"/>
    <w:rsid w:val="00160BA6"/>
    <w:rsid w:val="00162922"/>
    <w:rsid w:val="00164C97"/>
    <w:rsid w:val="00170CF5"/>
    <w:rsid w:val="00171EBC"/>
    <w:rsid w:val="00172A27"/>
    <w:rsid w:val="00174982"/>
    <w:rsid w:val="00180D75"/>
    <w:rsid w:val="00184463"/>
    <w:rsid w:val="00190135"/>
    <w:rsid w:val="001A2459"/>
    <w:rsid w:val="001A4B82"/>
    <w:rsid w:val="001B04FA"/>
    <w:rsid w:val="001B0B32"/>
    <w:rsid w:val="001B46A4"/>
    <w:rsid w:val="001B62EF"/>
    <w:rsid w:val="001B68CE"/>
    <w:rsid w:val="001C41B4"/>
    <w:rsid w:val="001C53BE"/>
    <w:rsid w:val="001C6548"/>
    <w:rsid w:val="001C654C"/>
    <w:rsid w:val="001C6807"/>
    <w:rsid w:val="001C6F68"/>
    <w:rsid w:val="001D5A1F"/>
    <w:rsid w:val="001E1ED4"/>
    <w:rsid w:val="001E6F70"/>
    <w:rsid w:val="0020251D"/>
    <w:rsid w:val="002046B9"/>
    <w:rsid w:val="00204BB4"/>
    <w:rsid w:val="00207160"/>
    <w:rsid w:val="002115BA"/>
    <w:rsid w:val="0022085B"/>
    <w:rsid w:val="002266B4"/>
    <w:rsid w:val="002374D7"/>
    <w:rsid w:val="00240240"/>
    <w:rsid w:val="002437B7"/>
    <w:rsid w:val="00245349"/>
    <w:rsid w:val="00245D4D"/>
    <w:rsid w:val="002468C2"/>
    <w:rsid w:val="00247C1F"/>
    <w:rsid w:val="0025126C"/>
    <w:rsid w:val="002538D0"/>
    <w:rsid w:val="002579AD"/>
    <w:rsid w:val="002651F2"/>
    <w:rsid w:val="00270AC9"/>
    <w:rsid w:val="002751C9"/>
    <w:rsid w:val="002826B0"/>
    <w:rsid w:val="00282A05"/>
    <w:rsid w:val="002848B4"/>
    <w:rsid w:val="00284D49"/>
    <w:rsid w:val="00287CE4"/>
    <w:rsid w:val="00293911"/>
    <w:rsid w:val="002A0A81"/>
    <w:rsid w:val="002A4712"/>
    <w:rsid w:val="002A6AC3"/>
    <w:rsid w:val="002A6EE4"/>
    <w:rsid w:val="002B050D"/>
    <w:rsid w:val="002C1C64"/>
    <w:rsid w:val="002C1F07"/>
    <w:rsid w:val="002C62B5"/>
    <w:rsid w:val="002C7FB9"/>
    <w:rsid w:val="002D121B"/>
    <w:rsid w:val="002E285E"/>
    <w:rsid w:val="002E44E3"/>
    <w:rsid w:val="002E4DA3"/>
    <w:rsid w:val="002F0DF6"/>
    <w:rsid w:val="002F284A"/>
    <w:rsid w:val="002F326E"/>
    <w:rsid w:val="002F503A"/>
    <w:rsid w:val="002F537B"/>
    <w:rsid w:val="003053E2"/>
    <w:rsid w:val="003116D5"/>
    <w:rsid w:val="0031329F"/>
    <w:rsid w:val="00317529"/>
    <w:rsid w:val="00322486"/>
    <w:rsid w:val="00324721"/>
    <w:rsid w:val="003305F5"/>
    <w:rsid w:val="00333A5F"/>
    <w:rsid w:val="003349B9"/>
    <w:rsid w:val="00334CB4"/>
    <w:rsid w:val="00336191"/>
    <w:rsid w:val="00341CF4"/>
    <w:rsid w:val="00342E7D"/>
    <w:rsid w:val="003523BA"/>
    <w:rsid w:val="003630E3"/>
    <w:rsid w:val="003662F5"/>
    <w:rsid w:val="003667F8"/>
    <w:rsid w:val="00367EB8"/>
    <w:rsid w:val="00371756"/>
    <w:rsid w:val="003722C8"/>
    <w:rsid w:val="003725E9"/>
    <w:rsid w:val="00372D4F"/>
    <w:rsid w:val="00374A96"/>
    <w:rsid w:val="00375ACD"/>
    <w:rsid w:val="00383833"/>
    <w:rsid w:val="003943D7"/>
    <w:rsid w:val="0039499D"/>
    <w:rsid w:val="003A0056"/>
    <w:rsid w:val="003B1942"/>
    <w:rsid w:val="003B7B5C"/>
    <w:rsid w:val="003C2B6D"/>
    <w:rsid w:val="003C3665"/>
    <w:rsid w:val="003C39EE"/>
    <w:rsid w:val="003D12B4"/>
    <w:rsid w:val="003D203F"/>
    <w:rsid w:val="003E21A9"/>
    <w:rsid w:val="003E353C"/>
    <w:rsid w:val="003E7426"/>
    <w:rsid w:val="003F6C20"/>
    <w:rsid w:val="003F6ECE"/>
    <w:rsid w:val="00401A47"/>
    <w:rsid w:val="00401B92"/>
    <w:rsid w:val="00402B09"/>
    <w:rsid w:val="004103B6"/>
    <w:rsid w:val="004107E7"/>
    <w:rsid w:val="00414513"/>
    <w:rsid w:val="00420B58"/>
    <w:rsid w:val="00436839"/>
    <w:rsid w:val="00442E59"/>
    <w:rsid w:val="00444FCA"/>
    <w:rsid w:val="00447192"/>
    <w:rsid w:val="0046077A"/>
    <w:rsid w:val="00465F8E"/>
    <w:rsid w:val="00466523"/>
    <w:rsid w:val="00467816"/>
    <w:rsid w:val="00467C12"/>
    <w:rsid w:val="00471300"/>
    <w:rsid w:val="00471F23"/>
    <w:rsid w:val="004734A4"/>
    <w:rsid w:val="00476A79"/>
    <w:rsid w:val="00484EA8"/>
    <w:rsid w:val="004868D8"/>
    <w:rsid w:val="00492AAB"/>
    <w:rsid w:val="0049712A"/>
    <w:rsid w:val="004A3159"/>
    <w:rsid w:val="004A35A2"/>
    <w:rsid w:val="004A4F0A"/>
    <w:rsid w:val="004B1907"/>
    <w:rsid w:val="004B5A29"/>
    <w:rsid w:val="004C16D8"/>
    <w:rsid w:val="004D1124"/>
    <w:rsid w:val="004D199E"/>
    <w:rsid w:val="004D3CE6"/>
    <w:rsid w:val="004D5E2F"/>
    <w:rsid w:val="004D6F7F"/>
    <w:rsid w:val="004E144B"/>
    <w:rsid w:val="004E1844"/>
    <w:rsid w:val="004E2AA6"/>
    <w:rsid w:val="004E3274"/>
    <w:rsid w:val="004E6442"/>
    <w:rsid w:val="004E7830"/>
    <w:rsid w:val="004F26FC"/>
    <w:rsid w:val="00500C88"/>
    <w:rsid w:val="0050293B"/>
    <w:rsid w:val="00502EFF"/>
    <w:rsid w:val="005116E0"/>
    <w:rsid w:val="00511731"/>
    <w:rsid w:val="00511F5A"/>
    <w:rsid w:val="00513788"/>
    <w:rsid w:val="0051733C"/>
    <w:rsid w:val="00521321"/>
    <w:rsid w:val="00522874"/>
    <w:rsid w:val="00524F28"/>
    <w:rsid w:val="00531E01"/>
    <w:rsid w:val="00536C33"/>
    <w:rsid w:val="00543E08"/>
    <w:rsid w:val="0054424D"/>
    <w:rsid w:val="00545FB5"/>
    <w:rsid w:val="0055192E"/>
    <w:rsid w:val="00552928"/>
    <w:rsid w:val="00552D43"/>
    <w:rsid w:val="00560B67"/>
    <w:rsid w:val="00562B54"/>
    <w:rsid w:val="00572AE3"/>
    <w:rsid w:val="00580B13"/>
    <w:rsid w:val="00581619"/>
    <w:rsid w:val="005834CB"/>
    <w:rsid w:val="00594C51"/>
    <w:rsid w:val="00596421"/>
    <w:rsid w:val="005A045E"/>
    <w:rsid w:val="005A1EF7"/>
    <w:rsid w:val="005A540D"/>
    <w:rsid w:val="005A6B43"/>
    <w:rsid w:val="005B000B"/>
    <w:rsid w:val="005B08DB"/>
    <w:rsid w:val="005B0D25"/>
    <w:rsid w:val="005B5368"/>
    <w:rsid w:val="005C6275"/>
    <w:rsid w:val="005C63BB"/>
    <w:rsid w:val="005C646B"/>
    <w:rsid w:val="005C6828"/>
    <w:rsid w:val="005C711C"/>
    <w:rsid w:val="005C79D3"/>
    <w:rsid w:val="005E526A"/>
    <w:rsid w:val="005E5C73"/>
    <w:rsid w:val="005F2D94"/>
    <w:rsid w:val="005F5022"/>
    <w:rsid w:val="00603842"/>
    <w:rsid w:val="006046FD"/>
    <w:rsid w:val="00610A72"/>
    <w:rsid w:val="00612735"/>
    <w:rsid w:val="00613A99"/>
    <w:rsid w:val="0061694C"/>
    <w:rsid w:val="00620B01"/>
    <w:rsid w:val="006404EF"/>
    <w:rsid w:val="006418F1"/>
    <w:rsid w:val="00646ADD"/>
    <w:rsid w:val="00653A1F"/>
    <w:rsid w:val="00664665"/>
    <w:rsid w:val="006700CF"/>
    <w:rsid w:val="006739D0"/>
    <w:rsid w:val="00681C12"/>
    <w:rsid w:val="006922CA"/>
    <w:rsid w:val="00692630"/>
    <w:rsid w:val="00694D49"/>
    <w:rsid w:val="00695438"/>
    <w:rsid w:val="006A1446"/>
    <w:rsid w:val="006A40F6"/>
    <w:rsid w:val="006A4883"/>
    <w:rsid w:val="006A5680"/>
    <w:rsid w:val="006A644A"/>
    <w:rsid w:val="006A7C0F"/>
    <w:rsid w:val="006B1BC6"/>
    <w:rsid w:val="006C2DBB"/>
    <w:rsid w:val="006C79C7"/>
    <w:rsid w:val="006C7C3F"/>
    <w:rsid w:val="006D5A82"/>
    <w:rsid w:val="006E0FF6"/>
    <w:rsid w:val="006E1832"/>
    <w:rsid w:val="00703D91"/>
    <w:rsid w:val="007069EC"/>
    <w:rsid w:val="00706F31"/>
    <w:rsid w:val="007113E2"/>
    <w:rsid w:val="0071504C"/>
    <w:rsid w:val="00730C7D"/>
    <w:rsid w:val="00732297"/>
    <w:rsid w:val="0073304B"/>
    <w:rsid w:val="00737D5D"/>
    <w:rsid w:val="00743D36"/>
    <w:rsid w:val="00743EEE"/>
    <w:rsid w:val="007526D9"/>
    <w:rsid w:val="007619BA"/>
    <w:rsid w:val="0076650B"/>
    <w:rsid w:val="00772DFF"/>
    <w:rsid w:val="00772EBB"/>
    <w:rsid w:val="00774BDD"/>
    <w:rsid w:val="00775B3C"/>
    <w:rsid w:val="00784E73"/>
    <w:rsid w:val="00787429"/>
    <w:rsid w:val="007A0B9C"/>
    <w:rsid w:val="007A195F"/>
    <w:rsid w:val="007A3556"/>
    <w:rsid w:val="007A3E24"/>
    <w:rsid w:val="007A6308"/>
    <w:rsid w:val="007B11C2"/>
    <w:rsid w:val="007B498D"/>
    <w:rsid w:val="007B7BEA"/>
    <w:rsid w:val="007C0CAE"/>
    <w:rsid w:val="007C64CE"/>
    <w:rsid w:val="007C75E2"/>
    <w:rsid w:val="007C7B8F"/>
    <w:rsid w:val="007D0822"/>
    <w:rsid w:val="007D4F1F"/>
    <w:rsid w:val="007E1455"/>
    <w:rsid w:val="007E2F12"/>
    <w:rsid w:val="007F062B"/>
    <w:rsid w:val="007F71A3"/>
    <w:rsid w:val="00800463"/>
    <w:rsid w:val="00806ED4"/>
    <w:rsid w:val="00811BCC"/>
    <w:rsid w:val="008167EF"/>
    <w:rsid w:val="0082599E"/>
    <w:rsid w:val="008275FC"/>
    <w:rsid w:val="00827B64"/>
    <w:rsid w:val="00827B98"/>
    <w:rsid w:val="00827FA5"/>
    <w:rsid w:val="008329D1"/>
    <w:rsid w:val="0084371A"/>
    <w:rsid w:val="008439C0"/>
    <w:rsid w:val="00844E41"/>
    <w:rsid w:val="00847681"/>
    <w:rsid w:val="00857FBF"/>
    <w:rsid w:val="008629DC"/>
    <w:rsid w:val="00863699"/>
    <w:rsid w:val="00870D84"/>
    <w:rsid w:val="00877D02"/>
    <w:rsid w:val="00885DD9"/>
    <w:rsid w:val="00897AEA"/>
    <w:rsid w:val="008A06D1"/>
    <w:rsid w:val="008A3C69"/>
    <w:rsid w:val="008B27D5"/>
    <w:rsid w:val="008B5F05"/>
    <w:rsid w:val="008C2D0F"/>
    <w:rsid w:val="008C4B70"/>
    <w:rsid w:val="008D3907"/>
    <w:rsid w:val="008D7998"/>
    <w:rsid w:val="008E4B89"/>
    <w:rsid w:val="008F38AB"/>
    <w:rsid w:val="008F70EE"/>
    <w:rsid w:val="00902EBA"/>
    <w:rsid w:val="00904CE9"/>
    <w:rsid w:val="0090728B"/>
    <w:rsid w:val="009123AF"/>
    <w:rsid w:val="0091451C"/>
    <w:rsid w:val="00917287"/>
    <w:rsid w:val="009172AA"/>
    <w:rsid w:val="009213CC"/>
    <w:rsid w:val="009246FB"/>
    <w:rsid w:val="00927B01"/>
    <w:rsid w:val="00946A85"/>
    <w:rsid w:val="00951159"/>
    <w:rsid w:val="00954CFD"/>
    <w:rsid w:val="009572A5"/>
    <w:rsid w:val="00964C62"/>
    <w:rsid w:val="00966036"/>
    <w:rsid w:val="00970457"/>
    <w:rsid w:val="00970D77"/>
    <w:rsid w:val="00976627"/>
    <w:rsid w:val="00976FB3"/>
    <w:rsid w:val="00977A26"/>
    <w:rsid w:val="009800E4"/>
    <w:rsid w:val="0098174F"/>
    <w:rsid w:val="0098359F"/>
    <w:rsid w:val="00990E50"/>
    <w:rsid w:val="00990F31"/>
    <w:rsid w:val="009A72BE"/>
    <w:rsid w:val="009B35F8"/>
    <w:rsid w:val="009C3667"/>
    <w:rsid w:val="009D2320"/>
    <w:rsid w:val="009D7293"/>
    <w:rsid w:val="009D729B"/>
    <w:rsid w:val="009D752B"/>
    <w:rsid w:val="009E349F"/>
    <w:rsid w:val="009E3FEB"/>
    <w:rsid w:val="009E47D8"/>
    <w:rsid w:val="009E6075"/>
    <w:rsid w:val="009E6B92"/>
    <w:rsid w:val="009F3FE1"/>
    <w:rsid w:val="009F6069"/>
    <w:rsid w:val="009F6F0A"/>
    <w:rsid w:val="00A02E4B"/>
    <w:rsid w:val="00A06642"/>
    <w:rsid w:val="00A0715A"/>
    <w:rsid w:val="00A07B43"/>
    <w:rsid w:val="00A10305"/>
    <w:rsid w:val="00A13120"/>
    <w:rsid w:val="00A14EDD"/>
    <w:rsid w:val="00A24676"/>
    <w:rsid w:val="00A31C3E"/>
    <w:rsid w:val="00A32CCC"/>
    <w:rsid w:val="00A36E16"/>
    <w:rsid w:val="00A3740B"/>
    <w:rsid w:val="00A41410"/>
    <w:rsid w:val="00A4495F"/>
    <w:rsid w:val="00A525FB"/>
    <w:rsid w:val="00A531BC"/>
    <w:rsid w:val="00A5523A"/>
    <w:rsid w:val="00A56B7D"/>
    <w:rsid w:val="00A57D2D"/>
    <w:rsid w:val="00A62311"/>
    <w:rsid w:val="00A74705"/>
    <w:rsid w:val="00A74ED7"/>
    <w:rsid w:val="00A83A72"/>
    <w:rsid w:val="00A8764E"/>
    <w:rsid w:val="00A92DD1"/>
    <w:rsid w:val="00A97288"/>
    <w:rsid w:val="00AA0DF8"/>
    <w:rsid w:val="00AA18EA"/>
    <w:rsid w:val="00AA5AB8"/>
    <w:rsid w:val="00AA729D"/>
    <w:rsid w:val="00AB01D3"/>
    <w:rsid w:val="00AB0217"/>
    <w:rsid w:val="00AB21E4"/>
    <w:rsid w:val="00AB7CB0"/>
    <w:rsid w:val="00AC229E"/>
    <w:rsid w:val="00AC2307"/>
    <w:rsid w:val="00AC3D16"/>
    <w:rsid w:val="00AD2EA8"/>
    <w:rsid w:val="00AD709B"/>
    <w:rsid w:val="00AD73CA"/>
    <w:rsid w:val="00AE31A3"/>
    <w:rsid w:val="00AE31BA"/>
    <w:rsid w:val="00AE5C58"/>
    <w:rsid w:val="00AE715A"/>
    <w:rsid w:val="00AF0E69"/>
    <w:rsid w:val="00AF13AB"/>
    <w:rsid w:val="00AF4655"/>
    <w:rsid w:val="00AF78FC"/>
    <w:rsid w:val="00B04EFD"/>
    <w:rsid w:val="00B16037"/>
    <w:rsid w:val="00B21809"/>
    <w:rsid w:val="00B24CB5"/>
    <w:rsid w:val="00B25280"/>
    <w:rsid w:val="00B32D42"/>
    <w:rsid w:val="00B34CEE"/>
    <w:rsid w:val="00B366A5"/>
    <w:rsid w:val="00B4238C"/>
    <w:rsid w:val="00B519FB"/>
    <w:rsid w:val="00B5603D"/>
    <w:rsid w:val="00B66BC5"/>
    <w:rsid w:val="00B67D9B"/>
    <w:rsid w:val="00B77247"/>
    <w:rsid w:val="00B7781F"/>
    <w:rsid w:val="00B808B4"/>
    <w:rsid w:val="00B82988"/>
    <w:rsid w:val="00B85DBB"/>
    <w:rsid w:val="00B86770"/>
    <w:rsid w:val="00B91C24"/>
    <w:rsid w:val="00B924AB"/>
    <w:rsid w:val="00B9419D"/>
    <w:rsid w:val="00B94A22"/>
    <w:rsid w:val="00BA2176"/>
    <w:rsid w:val="00BA2C2E"/>
    <w:rsid w:val="00BA44CC"/>
    <w:rsid w:val="00BB1265"/>
    <w:rsid w:val="00BB2972"/>
    <w:rsid w:val="00BB452B"/>
    <w:rsid w:val="00BB6C52"/>
    <w:rsid w:val="00BC0852"/>
    <w:rsid w:val="00BC288D"/>
    <w:rsid w:val="00BD5263"/>
    <w:rsid w:val="00BE1334"/>
    <w:rsid w:val="00BE757C"/>
    <w:rsid w:val="00BF16A9"/>
    <w:rsid w:val="00BF2401"/>
    <w:rsid w:val="00BF541B"/>
    <w:rsid w:val="00BF6C48"/>
    <w:rsid w:val="00C022A9"/>
    <w:rsid w:val="00C02D4B"/>
    <w:rsid w:val="00C03B88"/>
    <w:rsid w:val="00C0568D"/>
    <w:rsid w:val="00C06D2A"/>
    <w:rsid w:val="00C13183"/>
    <w:rsid w:val="00C16DA3"/>
    <w:rsid w:val="00C24176"/>
    <w:rsid w:val="00C258A9"/>
    <w:rsid w:val="00C2648B"/>
    <w:rsid w:val="00C26DAE"/>
    <w:rsid w:val="00C36268"/>
    <w:rsid w:val="00C37CC3"/>
    <w:rsid w:val="00C42A59"/>
    <w:rsid w:val="00C47CBA"/>
    <w:rsid w:val="00C56BEB"/>
    <w:rsid w:val="00C6350D"/>
    <w:rsid w:val="00C649DC"/>
    <w:rsid w:val="00C67D82"/>
    <w:rsid w:val="00C7276E"/>
    <w:rsid w:val="00C773F8"/>
    <w:rsid w:val="00C844F7"/>
    <w:rsid w:val="00C85792"/>
    <w:rsid w:val="00C86BDE"/>
    <w:rsid w:val="00C8784D"/>
    <w:rsid w:val="00C93028"/>
    <w:rsid w:val="00CA3AB7"/>
    <w:rsid w:val="00CA46C5"/>
    <w:rsid w:val="00CB4B7C"/>
    <w:rsid w:val="00CB5B8D"/>
    <w:rsid w:val="00CC015F"/>
    <w:rsid w:val="00CC227A"/>
    <w:rsid w:val="00CC2B87"/>
    <w:rsid w:val="00CC3175"/>
    <w:rsid w:val="00CD3E9B"/>
    <w:rsid w:val="00CE0500"/>
    <w:rsid w:val="00CE086C"/>
    <w:rsid w:val="00CE1E3C"/>
    <w:rsid w:val="00CE60E9"/>
    <w:rsid w:val="00CF4D3B"/>
    <w:rsid w:val="00D07D6D"/>
    <w:rsid w:val="00D13684"/>
    <w:rsid w:val="00D1437C"/>
    <w:rsid w:val="00D16D44"/>
    <w:rsid w:val="00D23D9C"/>
    <w:rsid w:val="00D30B43"/>
    <w:rsid w:val="00D30B67"/>
    <w:rsid w:val="00D31D0B"/>
    <w:rsid w:val="00D33586"/>
    <w:rsid w:val="00D33890"/>
    <w:rsid w:val="00D40427"/>
    <w:rsid w:val="00D454AA"/>
    <w:rsid w:val="00D46F0C"/>
    <w:rsid w:val="00D479BA"/>
    <w:rsid w:val="00D47CDF"/>
    <w:rsid w:val="00D51872"/>
    <w:rsid w:val="00D51F8B"/>
    <w:rsid w:val="00D53E53"/>
    <w:rsid w:val="00D56CA6"/>
    <w:rsid w:val="00D579CE"/>
    <w:rsid w:val="00D57B41"/>
    <w:rsid w:val="00D64896"/>
    <w:rsid w:val="00D70F17"/>
    <w:rsid w:val="00D71AE3"/>
    <w:rsid w:val="00D93478"/>
    <w:rsid w:val="00DA0D9E"/>
    <w:rsid w:val="00DA1501"/>
    <w:rsid w:val="00DA3F8F"/>
    <w:rsid w:val="00DA5BEE"/>
    <w:rsid w:val="00DB1495"/>
    <w:rsid w:val="00DC2907"/>
    <w:rsid w:val="00DC2B5B"/>
    <w:rsid w:val="00DD3D67"/>
    <w:rsid w:val="00DD561D"/>
    <w:rsid w:val="00DD6E1F"/>
    <w:rsid w:val="00DE04E9"/>
    <w:rsid w:val="00DE4964"/>
    <w:rsid w:val="00DF0C10"/>
    <w:rsid w:val="00E06843"/>
    <w:rsid w:val="00E15336"/>
    <w:rsid w:val="00E15BAF"/>
    <w:rsid w:val="00E22497"/>
    <w:rsid w:val="00E232F1"/>
    <w:rsid w:val="00E23E09"/>
    <w:rsid w:val="00E25F1D"/>
    <w:rsid w:val="00E31140"/>
    <w:rsid w:val="00E31A45"/>
    <w:rsid w:val="00E3285B"/>
    <w:rsid w:val="00E32B3E"/>
    <w:rsid w:val="00E32D75"/>
    <w:rsid w:val="00E374DC"/>
    <w:rsid w:val="00E44396"/>
    <w:rsid w:val="00E47AB3"/>
    <w:rsid w:val="00E50AB8"/>
    <w:rsid w:val="00E50EAB"/>
    <w:rsid w:val="00E5325A"/>
    <w:rsid w:val="00E5629E"/>
    <w:rsid w:val="00E571B6"/>
    <w:rsid w:val="00E608C1"/>
    <w:rsid w:val="00E6282C"/>
    <w:rsid w:val="00E63980"/>
    <w:rsid w:val="00E63D05"/>
    <w:rsid w:val="00E65794"/>
    <w:rsid w:val="00E70DB1"/>
    <w:rsid w:val="00E834C9"/>
    <w:rsid w:val="00E91976"/>
    <w:rsid w:val="00E945BE"/>
    <w:rsid w:val="00E958A2"/>
    <w:rsid w:val="00E96C68"/>
    <w:rsid w:val="00EA05CB"/>
    <w:rsid w:val="00EA7C84"/>
    <w:rsid w:val="00EB5BA8"/>
    <w:rsid w:val="00EB6FD3"/>
    <w:rsid w:val="00ED2232"/>
    <w:rsid w:val="00ED6057"/>
    <w:rsid w:val="00EE0536"/>
    <w:rsid w:val="00EE7E53"/>
    <w:rsid w:val="00EF51C8"/>
    <w:rsid w:val="00EF5CB2"/>
    <w:rsid w:val="00EF600C"/>
    <w:rsid w:val="00F10096"/>
    <w:rsid w:val="00F134FD"/>
    <w:rsid w:val="00F17DB9"/>
    <w:rsid w:val="00F23200"/>
    <w:rsid w:val="00F24182"/>
    <w:rsid w:val="00F246F1"/>
    <w:rsid w:val="00F248E8"/>
    <w:rsid w:val="00F253FF"/>
    <w:rsid w:val="00F25585"/>
    <w:rsid w:val="00F26766"/>
    <w:rsid w:val="00F269AC"/>
    <w:rsid w:val="00F271BC"/>
    <w:rsid w:val="00F364C7"/>
    <w:rsid w:val="00F37442"/>
    <w:rsid w:val="00F40D53"/>
    <w:rsid w:val="00F471F9"/>
    <w:rsid w:val="00F47D1A"/>
    <w:rsid w:val="00F50BA8"/>
    <w:rsid w:val="00F545B3"/>
    <w:rsid w:val="00F61802"/>
    <w:rsid w:val="00F64C86"/>
    <w:rsid w:val="00F64EC5"/>
    <w:rsid w:val="00F76A01"/>
    <w:rsid w:val="00F8277B"/>
    <w:rsid w:val="00F87524"/>
    <w:rsid w:val="00FA40B2"/>
    <w:rsid w:val="00FC4B08"/>
    <w:rsid w:val="00FC64CC"/>
    <w:rsid w:val="00FC691D"/>
    <w:rsid w:val="00FD3C25"/>
    <w:rsid w:val="00FF291C"/>
    <w:rsid w:val="00FF6E74"/>
    <w:rsid w:val="07B02CA3"/>
    <w:rsid w:val="0E930014"/>
    <w:rsid w:val="1D38389D"/>
    <w:rsid w:val="1E4551CC"/>
    <w:rsid w:val="1F6E5C03"/>
    <w:rsid w:val="30E27EA0"/>
    <w:rsid w:val="3B705CFD"/>
    <w:rsid w:val="4BDE4A00"/>
    <w:rsid w:val="50CD3EBC"/>
    <w:rsid w:val="580363B6"/>
    <w:rsid w:val="5C1E1C1B"/>
    <w:rsid w:val="60BE7413"/>
    <w:rsid w:val="630B501F"/>
    <w:rsid w:val="64824408"/>
    <w:rsid w:val="67F15690"/>
    <w:rsid w:val="6FBD529C"/>
    <w:rsid w:val="74C21DD9"/>
    <w:rsid w:val="76A8169F"/>
    <w:rsid w:val="7FCE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22"/>
    <w:qFormat/>
    <w:uiPriority w:val="0"/>
    <w:pPr>
      <w:autoSpaceDE w:val="0"/>
      <w:autoSpaceDN w:val="0"/>
      <w:adjustRightInd w:val="0"/>
      <w:jc w:val="left"/>
      <w:outlineLvl w:val="0"/>
    </w:pPr>
    <w:rPr>
      <w:kern w:val="0"/>
      <w:sz w:val="24"/>
      <w:szCs w:val="24"/>
    </w:rPr>
  </w:style>
  <w:style w:type="paragraph" w:styleId="4">
    <w:name w:val="heading 2"/>
    <w:basedOn w:val="1"/>
    <w:next w:val="1"/>
    <w:link w:val="177"/>
    <w:qFormat/>
    <w:uiPriority w:val="0"/>
    <w:pPr>
      <w:autoSpaceDE w:val="0"/>
      <w:autoSpaceDN w:val="0"/>
      <w:adjustRightInd w:val="0"/>
      <w:jc w:val="left"/>
      <w:outlineLvl w:val="1"/>
    </w:pPr>
    <w:rPr>
      <w:rFonts w:eastAsia="@仿宋"/>
      <w:sz w:val="32"/>
      <w:szCs w:val="24"/>
    </w:rPr>
  </w:style>
  <w:style w:type="paragraph" w:styleId="5">
    <w:name w:val="heading 3"/>
    <w:basedOn w:val="1"/>
    <w:next w:val="1"/>
    <w:link w:val="227"/>
    <w:qFormat/>
    <w:uiPriority w:val="0"/>
    <w:pPr>
      <w:keepNext/>
      <w:keepLines/>
      <w:spacing w:before="260" w:after="260" w:line="416" w:lineRule="auto"/>
      <w:outlineLvl w:val="2"/>
    </w:pPr>
    <w:rPr>
      <w:rFonts w:ascii="(使用中文字体)" w:hAnsi="(使用中文字体)" w:eastAsia="(使用中文字体)"/>
      <w:b/>
      <w:bCs/>
      <w:sz w:val="32"/>
      <w:szCs w:val="32"/>
    </w:rPr>
  </w:style>
  <w:style w:type="paragraph" w:styleId="6">
    <w:name w:val="heading 4"/>
    <w:basedOn w:val="1"/>
    <w:next w:val="1"/>
    <w:link w:val="183"/>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150"/>
    <w:qFormat/>
    <w:uiPriority w:val="0"/>
    <w:pPr>
      <w:keepNext/>
      <w:keepLines/>
      <w:adjustRightInd w:val="0"/>
      <w:snapToGrid w:val="0"/>
      <w:spacing w:line="360" w:lineRule="auto"/>
      <w:ind w:left="567"/>
      <w:outlineLvl w:val="4"/>
    </w:pPr>
    <w:rPr>
      <w:rFonts w:ascii="Arial Unicode MS" w:hAnsi="Arial Unicode MS" w:eastAsia="等线"/>
      <w:b/>
      <w:bCs/>
      <w:color w:val="000000"/>
      <w:sz w:val="28"/>
      <w:szCs w:val="28"/>
    </w:rPr>
  </w:style>
  <w:style w:type="paragraph" w:styleId="8">
    <w:name w:val="heading 6"/>
    <w:basedOn w:val="1"/>
    <w:next w:val="2"/>
    <w:link w:val="232"/>
    <w:qFormat/>
    <w:uiPriority w:val="0"/>
    <w:pPr>
      <w:keepNext/>
      <w:tabs>
        <w:tab w:val="left" w:pos="2157"/>
      </w:tabs>
      <w:spacing w:line="440" w:lineRule="exact"/>
      <w:ind w:left="1437" w:hanging="720"/>
      <w:outlineLvl w:val="5"/>
    </w:pPr>
    <w:rPr>
      <w:sz w:val="28"/>
      <w:szCs w:val="20"/>
    </w:rPr>
  </w:style>
  <w:style w:type="paragraph" w:styleId="9">
    <w:name w:val="heading 7"/>
    <w:basedOn w:val="1"/>
    <w:next w:val="1"/>
    <w:link w:val="154"/>
    <w:qFormat/>
    <w:uiPriority w:val="0"/>
    <w:pPr>
      <w:keepNext/>
      <w:keepLines/>
      <w:spacing w:before="240" w:after="64" w:line="320" w:lineRule="auto"/>
      <w:outlineLvl w:val="6"/>
    </w:pPr>
    <w:rPr>
      <w:b/>
      <w:bCs/>
      <w:sz w:val="24"/>
      <w:szCs w:val="24"/>
    </w:rPr>
  </w:style>
  <w:style w:type="paragraph" w:styleId="10">
    <w:name w:val="heading 8"/>
    <w:basedOn w:val="1"/>
    <w:next w:val="2"/>
    <w:link w:val="213"/>
    <w:qFormat/>
    <w:uiPriority w:val="0"/>
    <w:pPr>
      <w:keepNext/>
      <w:keepLines/>
      <w:tabs>
        <w:tab w:val="left" w:pos="3840"/>
      </w:tabs>
      <w:spacing w:before="240" w:after="64" w:line="320" w:lineRule="auto"/>
      <w:ind w:left="3840" w:hanging="420"/>
      <w:outlineLvl w:val="7"/>
    </w:pPr>
    <w:rPr>
      <w:rFonts w:ascii="Arial" w:hAnsi="Arial" w:eastAsia="黑体"/>
      <w:sz w:val="24"/>
      <w:szCs w:val="20"/>
    </w:rPr>
  </w:style>
  <w:style w:type="paragraph" w:styleId="11">
    <w:name w:val="heading 9"/>
    <w:basedOn w:val="1"/>
    <w:next w:val="2"/>
    <w:link w:val="170"/>
    <w:qFormat/>
    <w:uiPriority w:val="0"/>
    <w:pPr>
      <w:keepNext/>
      <w:keepLines/>
      <w:tabs>
        <w:tab w:val="left" w:pos="4260"/>
      </w:tabs>
      <w:spacing w:before="240" w:after="64" w:line="320" w:lineRule="auto"/>
      <w:ind w:left="4260" w:hanging="420"/>
      <w:outlineLvl w:val="8"/>
    </w:pPr>
    <w:rPr>
      <w:rFonts w:ascii="Arial" w:hAnsi="Arial" w:eastAsia="黑体"/>
      <w:szCs w:val="20"/>
    </w:rPr>
  </w:style>
  <w:style w:type="character" w:default="1" w:styleId="44">
    <w:name w:val="Default Paragraph Font"/>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67"/>
    <w:qFormat/>
    <w:uiPriority w:val="0"/>
    <w:pPr>
      <w:ind w:firstLine="420"/>
    </w:pPr>
    <w:rPr>
      <w:szCs w:val="20"/>
    </w:rPr>
  </w:style>
  <w:style w:type="paragraph" w:styleId="12">
    <w:name w:val="List Number"/>
    <w:basedOn w:val="1"/>
    <w:qFormat/>
    <w:uiPriority w:val="0"/>
    <w:pPr>
      <w:tabs>
        <w:tab w:val="left" w:pos="360"/>
      </w:tabs>
      <w:ind w:left="360" w:hanging="360"/>
      <w:contextualSpacing/>
    </w:pPr>
  </w:style>
  <w:style w:type="paragraph" w:styleId="13">
    <w:name w:val="caption"/>
    <w:basedOn w:val="1"/>
    <w:next w:val="1"/>
    <w:link w:val="200"/>
    <w:qFormat/>
    <w:uiPriority w:val="0"/>
    <w:pPr>
      <w:spacing w:before="152" w:after="160"/>
    </w:pPr>
    <w:rPr>
      <w:rFonts w:ascii="Arial" w:hAnsi="Arial" w:eastAsia="黑体"/>
      <w:sz w:val="20"/>
      <w:szCs w:val="20"/>
    </w:rPr>
  </w:style>
  <w:style w:type="paragraph" w:styleId="14">
    <w:name w:val="Document Map"/>
    <w:basedOn w:val="1"/>
    <w:link w:val="230"/>
    <w:qFormat/>
    <w:uiPriority w:val="0"/>
    <w:pPr>
      <w:shd w:val="clear" w:color="auto" w:fill="000080"/>
    </w:pPr>
    <w:rPr>
      <w:szCs w:val="24"/>
      <w:shd w:val="clear" w:color="auto" w:fill="000080"/>
    </w:rPr>
  </w:style>
  <w:style w:type="paragraph" w:styleId="15">
    <w:name w:val="annotation text"/>
    <w:basedOn w:val="1"/>
    <w:link w:val="206"/>
    <w:qFormat/>
    <w:uiPriority w:val="0"/>
    <w:pPr>
      <w:jc w:val="left"/>
    </w:pPr>
  </w:style>
  <w:style w:type="paragraph" w:styleId="16">
    <w:name w:val="Body Text 3"/>
    <w:basedOn w:val="1"/>
    <w:link w:val="199"/>
    <w:qFormat/>
    <w:uiPriority w:val="0"/>
    <w:pPr>
      <w:spacing w:after="120"/>
    </w:pPr>
    <w:rPr>
      <w:sz w:val="16"/>
      <w:szCs w:val="16"/>
    </w:rPr>
  </w:style>
  <w:style w:type="paragraph" w:styleId="17">
    <w:name w:val="Body Text"/>
    <w:basedOn w:val="1"/>
    <w:link w:val="203"/>
    <w:qFormat/>
    <w:uiPriority w:val="0"/>
    <w:pPr>
      <w:spacing w:after="120"/>
    </w:pPr>
  </w:style>
  <w:style w:type="paragraph" w:styleId="18">
    <w:name w:val="Body Text Indent"/>
    <w:basedOn w:val="1"/>
    <w:link w:val="163"/>
    <w:qFormat/>
    <w:uiPriority w:val="0"/>
    <w:pPr>
      <w:spacing w:line="200" w:lineRule="exact"/>
      <w:ind w:firstLine="301"/>
    </w:pPr>
    <w:rPr>
      <w:rFonts w:ascii="宋体" w:hAnsi="Courier New"/>
      <w:spacing w:val="-4"/>
      <w:sz w:val="18"/>
      <w:szCs w:val="20"/>
    </w:rPr>
  </w:style>
  <w:style w:type="paragraph" w:styleId="19">
    <w:name w:val="List Number 3"/>
    <w:basedOn w:val="1"/>
    <w:qFormat/>
    <w:uiPriority w:val="0"/>
    <w:pPr>
      <w:tabs>
        <w:tab w:val="left" w:pos="1200"/>
      </w:tabs>
      <w:ind w:left="1200" w:leftChars="400" w:hanging="360" w:hangingChars="200"/>
    </w:pPr>
    <w:rPr>
      <w:szCs w:val="24"/>
    </w:rPr>
  </w:style>
  <w:style w:type="paragraph" w:styleId="20">
    <w:name w:val="List 2"/>
    <w:basedOn w:val="1"/>
    <w:qFormat/>
    <w:uiPriority w:val="0"/>
    <w:pPr>
      <w:widowControl/>
      <w:ind w:left="100" w:leftChars="200" w:hanging="200" w:hangingChars="200"/>
      <w:jc w:val="left"/>
    </w:pPr>
    <w:rPr>
      <w:kern w:val="0"/>
      <w:sz w:val="24"/>
      <w:szCs w:val="24"/>
    </w:rPr>
  </w:style>
  <w:style w:type="paragraph" w:styleId="21">
    <w:name w:val="List Bullet 2"/>
    <w:basedOn w:val="1"/>
    <w:qFormat/>
    <w:uiPriority w:val="0"/>
    <w:pPr>
      <w:tabs>
        <w:tab w:val="left" w:pos="780"/>
      </w:tabs>
      <w:ind w:left="780" w:leftChars="200" w:hanging="360" w:hangingChars="200"/>
    </w:pPr>
    <w:rPr>
      <w:szCs w:val="24"/>
    </w:rPr>
  </w:style>
  <w:style w:type="paragraph" w:styleId="22">
    <w:name w:val="toc 3"/>
    <w:basedOn w:val="1"/>
    <w:next w:val="1"/>
    <w:qFormat/>
    <w:uiPriority w:val="0"/>
    <w:pPr>
      <w:ind w:left="420"/>
      <w:jc w:val="left"/>
    </w:pPr>
    <w:rPr>
      <w:sz w:val="20"/>
      <w:szCs w:val="20"/>
    </w:rPr>
  </w:style>
  <w:style w:type="paragraph" w:styleId="23">
    <w:name w:val="Plain Text"/>
    <w:basedOn w:val="1"/>
    <w:link w:val="218"/>
    <w:qFormat/>
    <w:uiPriority w:val="0"/>
    <w:pPr>
      <w:spacing w:before="156" w:beforeLines="50" w:after="156" w:afterLines="50" w:line="400" w:lineRule="exact"/>
    </w:pPr>
    <w:rPr>
      <w:rFonts w:ascii="宋体" w:hAnsi="Courier New"/>
      <w:sz w:val="24"/>
      <w:szCs w:val="24"/>
    </w:rPr>
  </w:style>
  <w:style w:type="paragraph" w:styleId="24">
    <w:name w:val="Date"/>
    <w:basedOn w:val="1"/>
    <w:next w:val="1"/>
    <w:link w:val="197"/>
    <w:qFormat/>
    <w:uiPriority w:val="0"/>
    <w:pPr>
      <w:widowControl/>
      <w:ind w:left="100" w:leftChars="2500"/>
      <w:jc w:val="left"/>
    </w:pPr>
    <w:rPr>
      <w:rFonts w:ascii="宋体" w:hAnsi="宋体"/>
      <w:kern w:val="0"/>
      <w:sz w:val="24"/>
      <w:szCs w:val="24"/>
    </w:rPr>
  </w:style>
  <w:style w:type="paragraph" w:styleId="25">
    <w:name w:val="Body Text Indent 2"/>
    <w:basedOn w:val="1"/>
    <w:link w:val="215"/>
    <w:qFormat/>
    <w:uiPriority w:val="0"/>
    <w:pPr>
      <w:spacing w:after="120" w:line="480" w:lineRule="auto"/>
      <w:ind w:left="420" w:leftChars="200"/>
    </w:pPr>
  </w:style>
  <w:style w:type="paragraph" w:styleId="26">
    <w:name w:val="Balloon Text"/>
    <w:basedOn w:val="1"/>
    <w:link w:val="149"/>
    <w:qFormat/>
    <w:uiPriority w:val="0"/>
    <w:rPr>
      <w:sz w:val="18"/>
      <w:szCs w:val="18"/>
    </w:rPr>
  </w:style>
  <w:style w:type="paragraph" w:styleId="27">
    <w:name w:val="footer"/>
    <w:basedOn w:val="1"/>
    <w:link w:val="158"/>
    <w:qFormat/>
    <w:uiPriority w:val="0"/>
    <w:pPr>
      <w:tabs>
        <w:tab w:val="center" w:pos="4153"/>
        <w:tab w:val="right" w:pos="8306"/>
      </w:tabs>
      <w:snapToGrid w:val="0"/>
      <w:jc w:val="left"/>
    </w:pPr>
    <w:rPr>
      <w:sz w:val="18"/>
      <w:szCs w:val="18"/>
    </w:rPr>
  </w:style>
  <w:style w:type="paragraph" w:styleId="28">
    <w:name w:val="header"/>
    <w:basedOn w:val="1"/>
    <w:link w:val="97"/>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tabs>
        <w:tab w:val="right" w:leader="dot" w:pos="8835"/>
      </w:tabs>
      <w:spacing w:before="120"/>
      <w:jc w:val="left"/>
    </w:pPr>
    <w:rPr>
      <w:rFonts w:eastAsia="黑体"/>
      <w:b/>
      <w:bCs/>
      <w:iCs/>
      <w:sz w:val="24"/>
      <w:szCs w:val="24"/>
    </w:rPr>
  </w:style>
  <w:style w:type="paragraph" w:styleId="30">
    <w:name w:val="toc 4"/>
    <w:basedOn w:val="1"/>
    <w:next w:val="1"/>
    <w:unhideWhenUsed/>
    <w:qFormat/>
    <w:uiPriority w:val="0"/>
    <w:pPr>
      <w:ind w:left="1260" w:leftChars="600"/>
    </w:pPr>
  </w:style>
  <w:style w:type="paragraph" w:styleId="31">
    <w:name w:val="Subtitle"/>
    <w:basedOn w:val="1"/>
    <w:next w:val="1"/>
    <w:link w:val="156"/>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0"/>
    <w:pPr>
      <w:ind w:left="200" w:hanging="200" w:hangingChars="200"/>
    </w:pPr>
    <w:rPr>
      <w:sz w:val="28"/>
      <w:szCs w:val="24"/>
    </w:rPr>
  </w:style>
  <w:style w:type="paragraph" w:styleId="33">
    <w:name w:val="Body Text Indent 3"/>
    <w:basedOn w:val="1"/>
    <w:link w:val="160"/>
    <w:qFormat/>
    <w:uiPriority w:val="0"/>
    <w:pPr>
      <w:spacing w:after="120"/>
      <w:ind w:left="420" w:leftChars="200"/>
    </w:pPr>
    <w:rPr>
      <w:sz w:val="16"/>
      <w:szCs w:val="16"/>
    </w:rPr>
  </w:style>
  <w:style w:type="paragraph" w:styleId="34">
    <w:name w:val="toc 2"/>
    <w:basedOn w:val="1"/>
    <w:next w:val="1"/>
    <w:qFormat/>
    <w:uiPriority w:val="0"/>
    <w:pPr>
      <w:tabs>
        <w:tab w:val="right" w:leader="dot" w:pos="8835"/>
      </w:tabs>
      <w:spacing w:before="120"/>
      <w:ind w:left="210"/>
      <w:jc w:val="left"/>
    </w:pPr>
    <w:rPr>
      <w:rFonts w:eastAsia="幼圆" w:cs="Arial"/>
      <w:bCs/>
      <w:sz w:val="22"/>
    </w:rPr>
  </w:style>
  <w:style w:type="paragraph" w:styleId="35">
    <w:name w:val="Body Text 2"/>
    <w:basedOn w:val="1"/>
    <w:link w:val="190"/>
    <w:qFormat/>
    <w:uiPriority w:val="0"/>
    <w:pPr>
      <w:spacing w:after="120" w:line="480" w:lineRule="auto"/>
    </w:pPr>
  </w:style>
  <w:style w:type="paragraph" w:styleId="36">
    <w:name w:val="HTML Preformatted"/>
    <w:basedOn w:val="1"/>
    <w:link w:val="20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7">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38">
    <w:name w:val="Title"/>
    <w:basedOn w:val="1"/>
    <w:link w:val="186"/>
    <w:qFormat/>
    <w:uiPriority w:val="0"/>
    <w:pPr>
      <w:spacing w:before="240" w:after="60"/>
      <w:jc w:val="center"/>
      <w:outlineLvl w:val="0"/>
    </w:pPr>
    <w:rPr>
      <w:rFonts w:ascii="Arial" w:hAnsi="Arial"/>
      <w:b/>
      <w:bCs/>
      <w:kern w:val="0"/>
      <w:sz w:val="32"/>
      <w:szCs w:val="32"/>
    </w:rPr>
  </w:style>
  <w:style w:type="paragraph" w:styleId="39">
    <w:name w:val="annotation subject"/>
    <w:basedOn w:val="15"/>
    <w:next w:val="15"/>
    <w:link w:val="155"/>
    <w:qFormat/>
    <w:uiPriority w:val="0"/>
    <w:rPr>
      <w:b/>
      <w:bCs/>
    </w:rPr>
  </w:style>
  <w:style w:type="paragraph" w:styleId="40">
    <w:name w:val="Body Text First Indent"/>
    <w:basedOn w:val="17"/>
    <w:link w:val="172"/>
    <w:qFormat/>
    <w:uiPriority w:val="0"/>
    <w:pPr>
      <w:ind w:firstLine="420" w:firstLineChars="100"/>
    </w:pPr>
  </w:style>
  <w:style w:type="paragraph" w:styleId="41">
    <w:name w:val="Body Text First Indent 2"/>
    <w:basedOn w:val="18"/>
    <w:link w:val="220"/>
    <w:qFormat/>
    <w:uiPriority w:val="0"/>
    <w:pPr>
      <w:spacing w:after="120" w:line="240" w:lineRule="auto"/>
      <w:ind w:left="420" w:leftChars="200" w:firstLine="420" w:firstLineChars="200"/>
    </w:pPr>
    <w:rPr>
      <w:sz w:val="21"/>
      <w:szCs w:val="22"/>
    </w:rPr>
  </w:style>
  <w:style w:type="table" w:styleId="43">
    <w:name w:val="Table Grid"/>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bCs/>
    </w:rPr>
  </w:style>
  <w:style w:type="character" w:styleId="46">
    <w:name w:val="page number"/>
    <w:qFormat/>
    <w:uiPriority w:val="0"/>
  </w:style>
  <w:style w:type="character" w:styleId="47">
    <w:name w:val="FollowedHyperlink"/>
    <w:qFormat/>
    <w:uiPriority w:val="0"/>
    <w:rPr>
      <w:color w:val="800080"/>
      <w:u w:val="single"/>
    </w:rPr>
  </w:style>
  <w:style w:type="character" w:styleId="48">
    <w:name w:val="Emphasis"/>
    <w:qFormat/>
    <w:uiPriority w:val="20"/>
    <w:rPr>
      <w:i/>
      <w:iCs/>
    </w:rPr>
  </w:style>
  <w:style w:type="character" w:styleId="49">
    <w:name w:val="Hyperlink"/>
    <w:qFormat/>
    <w:uiPriority w:val="99"/>
    <w:rPr>
      <w:color w:val="0000FF"/>
      <w:u w:val="single"/>
    </w:rPr>
  </w:style>
  <w:style w:type="character" w:styleId="50">
    <w:name w:val="annotation reference"/>
    <w:basedOn w:val="44"/>
    <w:qFormat/>
    <w:uiPriority w:val="0"/>
    <w:rPr>
      <w:sz w:val="21"/>
      <w:szCs w:val="21"/>
    </w:rPr>
  </w:style>
  <w:style w:type="character" w:customStyle="1" w:styleId="51">
    <w:name w:val="Char Char"/>
    <w:qFormat/>
    <w:uiPriority w:val="0"/>
    <w:rPr>
      <w:rFonts w:ascii="宋体" w:hAnsi="Courier New" w:eastAsia="宋体"/>
      <w:kern w:val="2"/>
      <w:sz w:val="24"/>
      <w:szCs w:val="24"/>
      <w:lang w:val="en-US" w:eastAsia="zh-CN" w:bidi="ar-SA"/>
    </w:rPr>
  </w:style>
  <w:style w:type="character" w:customStyle="1" w:styleId="52">
    <w:name w:val="Char Char3"/>
    <w:qFormat/>
    <w:uiPriority w:val="0"/>
    <w:rPr>
      <w:rFonts w:ascii="宋体" w:hAnsi="Courier New" w:eastAsia="宋体"/>
      <w:kern w:val="2"/>
      <w:sz w:val="24"/>
      <w:szCs w:val="24"/>
      <w:lang w:val="en-US" w:eastAsia="zh-CN" w:bidi="ar-SA"/>
    </w:rPr>
  </w:style>
  <w:style w:type="character" w:customStyle="1" w:styleId="53">
    <w:name w:val="引用 Char2"/>
    <w:qFormat/>
    <w:uiPriority w:val="29"/>
    <w:rPr>
      <w:i/>
      <w:iCs/>
      <w:color w:val="000000"/>
      <w:kern w:val="2"/>
      <w:sz w:val="21"/>
      <w:szCs w:val="22"/>
    </w:rPr>
  </w:style>
  <w:style w:type="character" w:customStyle="1" w:styleId="54">
    <w:name w:val="title14"/>
    <w:qFormat/>
    <w:uiPriority w:val="0"/>
  </w:style>
  <w:style w:type="character" w:customStyle="1" w:styleId="55">
    <w:name w:val="文档结构图 Char1"/>
    <w:semiHidden/>
    <w:qFormat/>
    <w:uiPriority w:val="99"/>
    <w:rPr>
      <w:rFonts w:ascii="宋体"/>
      <w:kern w:val="2"/>
      <w:sz w:val="18"/>
      <w:szCs w:val="18"/>
    </w:rPr>
  </w:style>
  <w:style w:type="character" w:customStyle="1" w:styleId="56">
    <w:name w:val="t-lan"/>
    <w:basedOn w:val="44"/>
    <w:qFormat/>
    <w:uiPriority w:val="0"/>
  </w:style>
  <w:style w:type="character" w:customStyle="1" w:styleId="57">
    <w:name w:val="font112"/>
    <w:qFormat/>
    <w:uiPriority w:val="0"/>
    <w:rPr>
      <w:rFonts w:hint="eastAsia" w:ascii="宋体" w:hAnsi="宋体" w:eastAsia="宋体" w:cs="宋体"/>
      <w:color w:val="FF0000"/>
      <w:sz w:val="24"/>
      <w:szCs w:val="24"/>
      <w:u w:val="none"/>
    </w:rPr>
  </w:style>
  <w:style w:type="character" w:customStyle="1" w:styleId="58">
    <w:name w:val="maywed421"/>
    <w:qFormat/>
    <w:uiPriority w:val="0"/>
    <w:rPr>
      <w:color w:val="366FB6"/>
      <w:u w:val="none"/>
    </w:rPr>
  </w:style>
  <w:style w:type="character" w:customStyle="1" w:styleId="59">
    <w:name w:val="font31"/>
    <w:qFormat/>
    <w:uiPriority w:val="0"/>
    <w:rPr>
      <w:rFonts w:hint="eastAsia" w:ascii="宋体" w:hAnsi="宋体" w:eastAsia="宋体" w:cs="宋体"/>
      <w:color w:val="000000"/>
      <w:sz w:val="22"/>
      <w:szCs w:val="22"/>
      <w:u w:val="none"/>
    </w:rPr>
  </w:style>
  <w:style w:type="character" w:customStyle="1" w:styleId="60">
    <w:name w:val="Char Char7"/>
    <w:qFormat/>
    <w:uiPriority w:val="0"/>
    <w:rPr>
      <w:rFonts w:eastAsia="宋体"/>
      <w:b/>
      <w:kern w:val="2"/>
      <w:sz w:val="32"/>
      <w:lang w:bidi="ar-SA"/>
    </w:rPr>
  </w:style>
  <w:style w:type="character" w:customStyle="1" w:styleId="61">
    <w:name w:val="Char Char13"/>
    <w:qFormat/>
    <w:uiPriority w:val="0"/>
    <w:rPr>
      <w:rFonts w:ascii="Calibri" w:hAnsi="Calibri" w:eastAsia="宋体" w:cs="Times New Roman"/>
      <w:sz w:val="18"/>
      <w:szCs w:val="18"/>
    </w:rPr>
  </w:style>
  <w:style w:type="character" w:customStyle="1" w:styleId="62">
    <w:name w:val="black10"/>
    <w:qFormat/>
    <w:uiPriority w:val="0"/>
  </w:style>
  <w:style w:type="character" w:customStyle="1" w:styleId="63">
    <w:name w:val="引用 字符"/>
    <w:link w:val="64"/>
    <w:qFormat/>
    <w:uiPriority w:val="0"/>
    <w:rPr>
      <w:i/>
      <w:iCs/>
      <w:color w:val="000000"/>
      <w:kern w:val="2"/>
      <w:sz w:val="21"/>
      <w:szCs w:val="22"/>
    </w:rPr>
  </w:style>
  <w:style w:type="paragraph" w:styleId="64">
    <w:name w:val="Quote"/>
    <w:basedOn w:val="1"/>
    <w:next w:val="1"/>
    <w:link w:val="63"/>
    <w:qFormat/>
    <w:uiPriority w:val="0"/>
    <w:rPr>
      <w:i/>
      <w:iCs/>
      <w:color w:val="000000"/>
    </w:rPr>
  </w:style>
  <w:style w:type="character" w:customStyle="1" w:styleId="65">
    <w:name w:val="列出段落 Char1"/>
    <w:qFormat/>
    <w:uiPriority w:val="0"/>
    <w:rPr>
      <w:kern w:val="2"/>
      <w:sz w:val="21"/>
      <w:szCs w:val="24"/>
    </w:rPr>
  </w:style>
  <w:style w:type="character" w:customStyle="1" w:styleId="66">
    <w:name w:val="表格中文字 Char"/>
    <w:link w:val="67"/>
    <w:qFormat/>
    <w:uiPriority w:val="0"/>
    <w:rPr>
      <w:rFonts w:ascii="新宋体" w:hAnsi="新宋体" w:eastAsia="新宋体"/>
      <w:sz w:val="24"/>
      <w:szCs w:val="24"/>
    </w:rPr>
  </w:style>
  <w:style w:type="paragraph" w:customStyle="1" w:styleId="67">
    <w:name w:val="表格中文字"/>
    <w:basedOn w:val="1"/>
    <w:link w:val="66"/>
    <w:qFormat/>
    <w:uiPriority w:val="0"/>
    <w:pPr>
      <w:spacing w:line="288" w:lineRule="auto"/>
    </w:pPr>
    <w:rPr>
      <w:rFonts w:ascii="新宋体" w:hAnsi="新宋体" w:eastAsia="新宋体"/>
      <w:kern w:val="0"/>
      <w:sz w:val="24"/>
      <w:szCs w:val="24"/>
    </w:rPr>
  </w:style>
  <w:style w:type="character" w:customStyle="1" w:styleId="68">
    <w:name w:val="Char Char4"/>
    <w:qFormat/>
    <w:uiPriority w:val="0"/>
    <w:rPr>
      <w:rFonts w:ascii="宋体" w:hAnsi="Courier New" w:eastAsia="宋体" w:cs="Courier New"/>
      <w:kern w:val="2"/>
      <w:sz w:val="21"/>
      <w:szCs w:val="21"/>
      <w:lang w:val="en-US" w:eastAsia="zh-CN" w:bidi="ar-SA"/>
    </w:rPr>
  </w:style>
  <w:style w:type="character" w:customStyle="1" w:styleId="69">
    <w:name w:val="一级标题 Char Char"/>
    <w:qFormat/>
    <w:uiPriority w:val="0"/>
    <w:rPr>
      <w:rFonts w:eastAsia="仿宋"/>
      <w:b/>
      <w:kern w:val="44"/>
      <w:sz w:val="28"/>
      <w:lang w:val="en-US" w:eastAsia="zh-CN" w:bidi="ar-SA"/>
    </w:rPr>
  </w:style>
  <w:style w:type="character" w:customStyle="1" w:styleId="70">
    <w:name w:val="fontdz1"/>
    <w:qFormat/>
    <w:uiPriority w:val="0"/>
    <w:rPr>
      <w:sz w:val="18"/>
      <w:szCs w:val="18"/>
    </w:rPr>
  </w:style>
  <w:style w:type="character" w:customStyle="1" w:styleId="71">
    <w:name w:val="a Char"/>
    <w:link w:val="72"/>
    <w:qFormat/>
    <w:uiPriority w:val="0"/>
    <w:rPr>
      <w:rFonts w:ascii="宋体" w:hAnsi="宋体" w:eastAsia="仿宋_GB2312"/>
      <w:sz w:val="24"/>
    </w:rPr>
  </w:style>
  <w:style w:type="paragraph" w:customStyle="1" w:styleId="72">
    <w:name w:val="a"/>
    <w:basedOn w:val="1"/>
    <w:link w:val="71"/>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73">
    <w:name w:val="文档正文1 Char"/>
    <w:link w:val="74"/>
    <w:qFormat/>
    <w:uiPriority w:val="0"/>
    <w:rPr>
      <w:rFonts w:ascii="仿宋_GB2312" w:hAnsi="仿宋" w:eastAsia="仿宋_GB2312"/>
      <w:kern w:val="2"/>
      <w:sz w:val="30"/>
      <w:szCs w:val="30"/>
    </w:rPr>
  </w:style>
  <w:style w:type="paragraph" w:customStyle="1" w:styleId="74">
    <w:name w:val="文档正文1"/>
    <w:basedOn w:val="1"/>
    <w:link w:val="73"/>
    <w:qFormat/>
    <w:uiPriority w:val="0"/>
    <w:pPr>
      <w:spacing w:line="360" w:lineRule="auto"/>
      <w:ind w:firstLine="600"/>
    </w:pPr>
    <w:rPr>
      <w:rFonts w:ascii="仿宋_GB2312" w:hAnsi="仿宋" w:eastAsia="仿宋_GB2312"/>
      <w:sz w:val="30"/>
      <w:szCs w:val="30"/>
    </w:rPr>
  </w:style>
  <w:style w:type="character" w:customStyle="1" w:styleId="75">
    <w:name w:val="Char Char8"/>
    <w:qFormat/>
    <w:uiPriority w:val="0"/>
    <w:rPr>
      <w:rFonts w:ascii="Arial" w:hAnsi="Arial" w:eastAsia="黑体"/>
      <w:b/>
      <w:bCs/>
      <w:kern w:val="2"/>
      <w:sz w:val="32"/>
      <w:szCs w:val="32"/>
      <w:lang w:val="en-US" w:eastAsia="zh-CN" w:bidi="ar-SA"/>
    </w:rPr>
  </w:style>
  <w:style w:type="character" w:customStyle="1" w:styleId="76">
    <w:name w:val="font3"/>
    <w:qFormat/>
    <w:uiPriority w:val="0"/>
  </w:style>
  <w:style w:type="character" w:customStyle="1" w:styleId="77">
    <w:name w:val="纯文本 Char"/>
    <w:qFormat/>
    <w:uiPriority w:val="0"/>
    <w:rPr>
      <w:rFonts w:ascii="宋体" w:hAnsi="Courier New" w:cs="Courier New"/>
      <w:kern w:val="2"/>
      <w:sz w:val="21"/>
      <w:szCs w:val="21"/>
    </w:rPr>
  </w:style>
  <w:style w:type="character" w:customStyle="1" w:styleId="78">
    <w:name w:val="HTML 预设格式 Char1"/>
    <w:qFormat/>
    <w:uiPriority w:val="0"/>
    <w:rPr>
      <w:rFonts w:ascii="Courier New" w:hAnsi="Courier New" w:cs="Courier New"/>
      <w:kern w:val="2"/>
    </w:rPr>
  </w:style>
  <w:style w:type="character" w:customStyle="1" w:styleId="79">
    <w:name w:val="Char Char1"/>
    <w:qFormat/>
    <w:uiPriority w:val="0"/>
    <w:rPr>
      <w:kern w:val="2"/>
      <w:sz w:val="18"/>
      <w:szCs w:val="18"/>
    </w:rPr>
  </w:style>
  <w:style w:type="character" w:customStyle="1" w:styleId="80">
    <w:name w:val="表格 字符"/>
    <w:link w:val="81"/>
    <w:qFormat/>
    <w:uiPriority w:val="0"/>
    <w:rPr>
      <w:rFonts w:ascii="仿宋" w:hAnsi="仿宋"/>
      <w:color w:val="000000"/>
      <w:kern w:val="2"/>
      <w:sz w:val="21"/>
    </w:rPr>
  </w:style>
  <w:style w:type="paragraph" w:customStyle="1" w:styleId="81">
    <w:name w:val="表格"/>
    <w:basedOn w:val="1"/>
    <w:link w:val="80"/>
    <w:qFormat/>
    <w:uiPriority w:val="0"/>
    <w:rPr>
      <w:rFonts w:ascii="仿宋" w:hAnsi="仿宋"/>
      <w:color w:val="000000"/>
      <w:szCs w:val="20"/>
    </w:rPr>
  </w:style>
  <w:style w:type="character" w:customStyle="1" w:styleId="82">
    <w:name w:val="article_td1"/>
    <w:qFormat/>
    <w:uiPriority w:val="0"/>
    <w:rPr>
      <w:rFonts w:eastAsia="宋体"/>
      <w:kern w:val="2"/>
      <w:sz w:val="21"/>
      <w:szCs w:val="21"/>
      <w:lang w:val="en-US" w:eastAsia="zh-CN" w:bidi="ar-SA"/>
    </w:rPr>
  </w:style>
  <w:style w:type="character" w:customStyle="1" w:styleId="83">
    <w:name w:val="明显引用 Char1"/>
    <w:qFormat/>
    <w:uiPriority w:val="99"/>
    <w:rPr>
      <w:b/>
      <w:bCs/>
      <w:i/>
      <w:iCs/>
      <w:color w:val="4F81BD"/>
      <w:kern w:val="2"/>
      <w:sz w:val="21"/>
      <w:szCs w:val="22"/>
    </w:rPr>
  </w:style>
  <w:style w:type="character" w:customStyle="1" w:styleId="84">
    <w:name w:val="批注文字 字符"/>
    <w:qFormat/>
    <w:uiPriority w:val="0"/>
    <w:rPr>
      <w:rFonts w:eastAsia="宋体"/>
    </w:rPr>
  </w:style>
  <w:style w:type="character" w:customStyle="1" w:styleId="85">
    <w:name w:val="Char Char111"/>
    <w:qFormat/>
    <w:uiPriority w:val="0"/>
    <w:rPr>
      <w:rFonts w:eastAsia="宋体"/>
      <w:sz w:val="18"/>
      <w:szCs w:val="18"/>
      <w:lang w:val="en-US" w:eastAsia="zh-CN" w:bidi="ar-SA"/>
    </w:rPr>
  </w:style>
  <w:style w:type="character" w:customStyle="1" w:styleId="86">
    <w:name w:val="b11_01b Char"/>
    <w:link w:val="87"/>
    <w:qFormat/>
    <w:uiPriority w:val="0"/>
    <w:rPr>
      <w:rFonts w:ascii="Verdana" w:hAnsi="Verdana"/>
      <w:b/>
      <w:bCs/>
      <w:color w:val="4A82CA"/>
      <w:sz w:val="17"/>
      <w:szCs w:val="17"/>
    </w:rPr>
  </w:style>
  <w:style w:type="paragraph" w:customStyle="1" w:styleId="87">
    <w:name w:val="b11_01b"/>
    <w:basedOn w:val="1"/>
    <w:next w:val="1"/>
    <w:link w:val="86"/>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88">
    <w:name w:val="NormalCharacter"/>
    <w:qFormat/>
    <w:uiPriority w:val="0"/>
  </w:style>
  <w:style w:type="character" w:customStyle="1" w:styleId="89">
    <w:name w:val="页脚 字符"/>
    <w:qFormat/>
    <w:uiPriority w:val="0"/>
    <w:rPr>
      <w:rFonts w:ascii="Times New Roman" w:hAnsi="Times New Roman" w:eastAsia="黑体" w:cs="Times New Roman"/>
      <w:snapToGrid w:val="0"/>
      <w:sz w:val="18"/>
      <w:szCs w:val="18"/>
      <w:lang w:val="en-US" w:eastAsia="zh-CN" w:bidi="ar-SA"/>
    </w:rPr>
  </w:style>
  <w:style w:type="character" w:customStyle="1" w:styleId="90">
    <w:name w:val="Char Char5"/>
    <w:qFormat/>
    <w:uiPriority w:val="0"/>
    <w:rPr>
      <w:rFonts w:ascii="Arial" w:hAnsi="Arial" w:eastAsia="黑体"/>
      <w:b/>
      <w:bCs/>
      <w:kern w:val="2"/>
      <w:sz w:val="32"/>
      <w:szCs w:val="32"/>
      <w:lang w:val="en-US" w:eastAsia="zh-CN" w:bidi="ar-SA"/>
    </w:rPr>
  </w:style>
  <w:style w:type="character" w:customStyle="1" w:styleId="91">
    <w:name w:val="标准正文格式 Char"/>
    <w:link w:val="92"/>
    <w:qFormat/>
    <w:uiPriority w:val="0"/>
    <w:rPr>
      <w:rFonts w:ascii="宋体" w:eastAsia="仿宋_GB2312" w:cs="宋体"/>
      <w:color w:val="000000"/>
      <w:sz w:val="24"/>
    </w:rPr>
  </w:style>
  <w:style w:type="paragraph" w:customStyle="1" w:styleId="92">
    <w:name w:val="标准正文格式"/>
    <w:basedOn w:val="1"/>
    <w:link w:val="91"/>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93">
    <w:name w:val="标题4-dyf Char"/>
    <w:link w:val="94"/>
    <w:qFormat/>
    <w:uiPriority w:val="0"/>
    <w:rPr>
      <w:rFonts w:ascii="Cambria" w:hAnsi="Cambria"/>
      <w:b/>
      <w:bCs/>
      <w:color w:val="000000"/>
      <w:kern w:val="2"/>
      <w:sz w:val="21"/>
      <w:szCs w:val="21"/>
    </w:rPr>
  </w:style>
  <w:style w:type="paragraph" w:customStyle="1" w:styleId="94">
    <w:name w:val="标题4-dyf"/>
    <w:basedOn w:val="6"/>
    <w:link w:val="93"/>
    <w:qFormat/>
    <w:uiPriority w:val="0"/>
    <w:pPr>
      <w:tabs>
        <w:tab w:val="left" w:pos="851"/>
      </w:tabs>
      <w:spacing w:line="376" w:lineRule="atLeast"/>
      <w:ind w:left="851" w:hanging="851"/>
    </w:pPr>
    <w:rPr>
      <w:color w:val="000000"/>
      <w:sz w:val="21"/>
      <w:szCs w:val="21"/>
    </w:rPr>
  </w:style>
  <w:style w:type="character" w:customStyle="1" w:styleId="95">
    <w:name w:val="Char Char12"/>
    <w:qFormat/>
    <w:uiPriority w:val="0"/>
    <w:rPr>
      <w:rFonts w:ascii="宋体" w:hAnsi="Courier New" w:eastAsia="宋体" w:cs="Times New Roman"/>
      <w:spacing w:val="-4"/>
      <w:sz w:val="18"/>
      <w:szCs w:val="20"/>
    </w:rPr>
  </w:style>
  <w:style w:type="character" w:customStyle="1" w:styleId="96">
    <w:name w:val="Char Char Char Char Char"/>
    <w:qFormat/>
    <w:uiPriority w:val="0"/>
    <w:rPr>
      <w:rFonts w:ascii="宋体" w:hAnsi="宋体" w:eastAsia="宋体"/>
      <w:sz w:val="24"/>
      <w:szCs w:val="24"/>
      <w:lang w:val="en-US" w:eastAsia="zh-CN" w:bidi="ar-SA"/>
    </w:rPr>
  </w:style>
  <w:style w:type="character" w:customStyle="1" w:styleId="97">
    <w:name w:val="页眉 字符"/>
    <w:link w:val="28"/>
    <w:qFormat/>
    <w:uiPriority w:val="0"/>
    <w:rPr>
      <w:kern w:val="2"/>
      <w:sz w:val="18"/>
      <w:szCs w:val="18"/>
    </w:rPr>
  </w:style>
  <w:style w:type="character" w:customStyle="1" w:styleId="98">
    <w:name w:val="Char Char9"/>
    <w:qFormat/>
    <w:uiPriority w:val="0"/>
    <w:rPr>
      <w:rFonts w:eastAsia="宋体"/>
      <w:b/>
      <w:kern w:val="44"/>
      <w:sz w:val="44"/>
      <w:lang w:bidi="ar-SA"/>
    </w:rPr>
  </w:style>
  <w:style w:type="character" w:customStyle="1" w:styleId="99">
    <w:name w:val="b titlename wangputoptitle"/>
    <w:qFormat/>
    <w:uiPriority w:val="0"/>
  </w:style>
  <w:style w:type="character" w:customStyle="1" w:styleId="100">
    <w:name w:val="正文4 Char"/>
    <w:link w:val="101"/>
    <w:qFormat/>
    <w:uiPriority w:val="0"/>
    <w:rPr>
      <w:kern w:val="2"/>
      <w:sz w:val="24"/>
      <w:szCs w:val="24"/>
    </w:rPr>
  </w:style>
  <w:style w:type="paragraph" w:customStyle="1" w:styleId="101">
    <w:name w:val="正文4"/>
    <w:basedOn w:val="1"/>
    <w:link w:val="100"/>
    <w:qFormat/>
    <w:uiPriority w:val="0"/>
    <w:pPr>
      <w:tabs>
        <w:tab w:val="left" w:pos="520"/>
      </w:tabs>
      <w:spacing w:before="60" w:after="60" w:line="360" w:lineRule="auto"/>
      <w:ind w:left="520"/>
    </w:pPr>
    <w:rPr>
      <w:sz w:val="24"/>
      <w:szCs w:val="24"/>
    </w:rPr>
  </w:style>
  <w:style w:type="character" w:customStyle="1" w:styleId="102">
    <w:name w:val="para"/>
    <w:qFormat/>
    <w:uiPriority w:val="0"/>
  </w:style>
  <w:style w:type="character" w:customStyle="1" w:styleId="103">
    <w:name w:val="h Char"/>
    <w:qFormat/>
    <w:uiPriority w:val="0"/>
    <w:rPr>
      <w:rFonts w:ascii="Calibri" w:hAnsi="Calibri" w:eastAsia="宋体" w:cs="Times New Roman"/>
      <w:sz w:val="18"/>
      <w:szCs w:val="18"/>
    </w:rPr>
  </w:style>
  <w:style w:type="character" w:customStyle="1" w:styleId="104">
    <w:name w:val="明显引用 Char2"/>
    <w:qFormat/>
    <w:uiPriority w:val="30"/>
    <w:rPr>
      <w:b/>
      <w:bCs/>
      <w:i/>
      <w:iCs/>
      <w:color w:val="4F81BD"/>
      <w:kern w:val="2"/>
      <w:sz w:val="21"/>
      <w:szCs w:val="22"/>
    </w:rPr>
  </w:style>
  <w:style w:type="character" w:customStyle="1" w:styleId="105">
    <w:name w:val="中等深浅网格 1 - 强调文字颜色 2 Char"/>
    <w:link w:val="106"/>
    <w:qFormat/>
    <w:locked/>
    <w:uiPriority w:val="99"/>
  </w:style>
  <w:style w:type="paragraph" w:customStyle="1" w:styleId="106">
    <w:name w:val="中等深浅网格 1 - 强调文字颜色 21"/>
    <w:basedOn w:val="1"/>
    <w:link w:val="105"/>
    <w:qFormat/>
    <w:uiPriority w:val="99"/>
    <w:pPr>
      <w:ind w:firstLine="420" w:firstLineChars="200"/>
    </w:pPr>
    <w:rPr>
      <w:kern w:val="0"/>
      <w:sz w:val="20"/>
      <w:szCs w:val="20"/>
    </w:rPr>
  </w:style>
  <w:style w:type="character" w:customStyle="1" w:styleId="107">
    <w:name w:val="Char Char2"/>
    <w:qFormat/>
    <w:uiPriority w:val="0"/>
    <w:rPr>
      <w:rFonts w:ascii="宋体" w:hAnsi="Courier New" w:eastAsia="宋体"/>
      <w:sz w:val="21"/>
      <w:lang w:val="en-US" w:eastAsia="zh-CN" w:bidi="ar-SA"/>
    </w:rPr>
  </w:style>
  <w:style w:type="character" w:customStyle="1" w:styleId="108">
    <w:name w:val="paragraph1 Char"/>
    <w:link w:val="109"/>
    <w:qFormat/>
    <w:uiPriority w:val="0"/>
    <w:rPr>
      <w:rFonts w:eastAsia="楷体_GB2312"/>
      <w:kern w:val="2"/>
      <w:sz w:val="24"/>
    </w:rPr>
  </w:style>
  <w:style w:type="paragraph" w:customStyle="1" w:styleId="109">
    <w:name w:val="paragraph1"/>
    <w:basedOn w:val="1"/>
    <w:link w:val="108"/>
    <w:qFormat/>
    <w:uiPriority w:val="0"/>
    <w:pPr>
      <w:spacing w:afterLines="30" w:line="360" w:lineRule="auto"/>
      <w:ind w:firstLine="420" w:firstLineChars="200"/>
    </w:pPr>
    <w:rPr>
      <w:rFonts w:eastAsia="楷体_GB2312"/>
      <w:sz w:val="24"/>
      <w:szCs w:val="20"/>
    </w:rPr>
  </w:style>
  <w:style w:type="character" w:customStyle="1" w:styleId="110">
    <w:name w:val="正文文本_"/>
    <w:link w:val="111"/>
    <w:qFormat/>
    <w:uiPriority w:val="0"/>
    <w:rPr>
      <w:rFonts w:ascii="MingLiU" w:hAnsi="MingLiU" w:eastAsia="MingLiU" w:cs="MingLiU"/>
      <w:shd w:val="clear" w:color="auto" w:fill="FFFFFF"/>
    </w:rPr>
  </w:style>
  <w:style w:type="paragraph" w:customStyle="1" w:styleId="111">
    <w:name w:val="正文文本11"/>
    <w:basedOn w:val="1"/>
    <w:link w:val="110"/>
    <w:qFormat/>
    <w:uiPriority w:val="0"/>
    <w:pPr>
      <w:shd w:val="clear" w:color="auto" w:fill="FFFFFF"/>
      <w:spacing w:before="240" w:line="494" w:lineRule="exact"/>
      <w:jc w:val="distribute"/>
    </w:pPr>
    <w:rPr>
      <w:rFonts w:ascii="MingLiU" w:hAnsi="MingLiU" w:eastAsia="MingLiU"/>
      <w:kern w:val="0"/>
      <w:sz w:val="20"/>
      <w:szCs w:val="20"/>
    </w:rPr>
  </w:style>
  <w:style w:type="character" w:customStyle="1" w:styleId="112">
    <w:name w:val="Plain Text Char"/>
    <w:qFormat/>
    <w:locked/>
    <w:uiPriority w:val="0"/>
    <w:rPr>
      <w:rFonts w:ascii="宋体" w:hAnsi="Courier New" w:cs="Courier New"/>
      <w:sz w:val="21"/>
      <w:szCs w:val="21"/>
    </w:rPr>
  </w:style>
  <w:style w:type="character" w:customStyle="1" w:styleId="113">
    <w:name w:val="txt1"/>
    <w:qFormat/>
    <w:uiPriority w:val="0"/>
    <w:rPr>
      <w:rFonts w:hint="default" w:ascii="ˎ̥" w:hAnsi="ˎ̥"/>
      <w:sz w:val="18"/>
      <w:szCs w:val="18"/>
    </w:rPr>
  </w:style>
  <w:style w:type="character" w:customStyle="1" w:styleId="114">
    <w:name w:val="bds_more8"/>
    <w:qFormat/>
    <w:uiPriority w:val="0"/>
    <w:rPr>
      <w:rFonts w:hint="eastAsia" w:ascii="宋体" w:hAnsi="宋体" w:eastAsia="宋体" w:cs="宋体"/>
    </w:rPr>
  </w:style>
  <w:style w:type="character" w:customStyle="1" w:styleId="115">
    <w:name w:val="标题 2 Char1"/>
    <w:qFormat/>
    <w:uiPriority w:val="0"/>
    <w:rPr>
      <w:rFonts w:ascii="Arial" w:hAnsi="Arial" w:eastAsia="黑体"/>
      <w:b/>
      <w:bCs/>
      <w:kern w:val="2"/>
      <w:sz w:val="32"/>
      <w:szCs w:val="32"/>
    </w:rPr>
  </w:style>
  <w:style w:type="character" w:customStyle="1" w:styleId="116">
    <w:name w:val="样式 小四1"/>
    <w:qFormat/>
    <w:uiPriority w:val="0"/>
    <w:rPr>
      <w:rFonts w:ascii="Tahoma" w:hAnsi="Tahoma" w:eastAsia="仿宋_GB2312"/>
      <w:kern w:val="2"/>
      <w:sz w:val="24"/>
      <w:lang w:val="en-US" w:eastAsia="zh-CN" w:bidi="ar-SA"/>
    </w:rPr>
  </w:style>
  <w:style w:type="character" w:customStyle="1" w:styleId="117">
    <w:name w:val="数据小节格式"/>
    <w:qFormat/>
    <w:uiPriority w:val="0"/>
    <w:rPr>
      <w:rFonts w:ascii="新宋体" w:hAnsi="新宋体" w:eastAsia="华文中宋"/>
      <w:b/>
      <w:bCs/>
      <w:sz w:val="27"/>
      <w:szCs w:val="26"/>
      <w:shd w:val="clear" w:color="auto" w:fill="auto"/>
    </w:rPr>
  </w:style>
  <w:style w:type="character" w:customStyle="1" w:styleId="118">
    <w:name w:val="font71"/>
    <w:qFormat/>
    <w:uiPriority w:val="0"/>
    <w:rPr>
      <w:rFonts w:hint="eastAsia" w:ascii="宋体" w:hAnsi="宋体" w:eastAsia="宋体" w:cs="宋体"/>
      <w:color w:val="000000"/>
      <w:sz w:val="20"/>
      <w:szCs w:val="20"/>
      <w:u w:val="none"/>
    </w:rPr>
  </w:style>
  <w:style w:type="character" w:customStyle="1" w:styleId="119">
    <w:name w:val="大汉方案正文 Char1"/>
    <w:link w:val="120"/>
    <w:qFormat/>
    <w:uiPriority w:val="0"/>
    <w:rPr>
      <w:rFonts w:ascii="Arial" w:hAnsi="Arial"/>
      <w:sz w:val="24"/>
      <w:szCs w:val="24"/>
    </w:rPr>
  </w:style>
  <w:style w:type="paragraph" w:customStyle="1" w:styleId="120">
    <w:name w:val="大汉方案正文"/>
    <w:basedOn w:val="1"/>
    <w:link w:val="119"/>
    <w:qFormat/>
    <w:uiPriority w:val="0"/>
    <w:pPr>
      <w:spacing w:line="360" w:lineRule="auto"/>
      <w:ind w:firstLine="200" w:firstLineChars="200"/>
    </w:pPr>
    <w:rPr>
      <w:rFonts w:ascii="Arial" w:hAnsi="Arial"/>
      <w:kern w:val="0"/>
      <w:sz w:val="24"/>
      <w:szCs w:val="24"/>
    </w:rPr>
  </w:style>
  <w:style w:type="character" w:customStyle="1" w:styleId="121">
    <w:name w:val="font91"/>
    <w:qFormat/>
    <w:uiPriority w:val="0"/>
    <w:rPr>
      <w:rFonts w:ascii="Arial" w:hAnsi="Arial" w:cs="Arial"/>
      <w:color w:val="000000"/>
      <w:sz w:val="22"/>
      <w:szCs w:val="22"/>
      <w:u w:val="none"/>
    </w:rPr>
  </w:style>
  <w:style w:type="character" w:customStyle="1" w:styleId="122">
    <w:name w:val="彩色列表 - 强调文字颜色 1 Char"/>
    <w:link w:val="123"/>
    <w:qFormat/>
    <w:locked/>
    <w:uiPriority w:val="34"/>
    <w:rPr>
      <w:kern w:val="2"/>
      <w:sz w:val="21"/>
      <w:szCs w:val="22"/>
    </w:rPr>
  </w:style>
  <w:style w:type="paragraph" w:customStyle="1" w:styleId="123">
    <w:name w:val="彩色列表 - 强调文字颜色 11"/>
    <w:basedOn w:val="1"/>
    <w:link w:val="122"/>
    <w:qFormat/>
    <w:uiPriority w:val="34"/>
    <w:pPr>
      <w:ind w:firstLine="420" w:firstLineChars="200"/>
    </w:pPr>
  </w:style>
  <w:style w:type="character" w:customStyle="1" w:styleId="124">
    <w:name w:val="日期 Char2"/>
    <w:semiHidden/>
    <w:qFormat/>
    <w:uiPriority w:val="99"/>
    <w:rPr>
      <w:kern w:val="2"/>
      <w:sz w:val="21"/>
      <w:szCs w:val="22"/>
    </w:rPr>
  </w:style>
  <w:style w:type="character" w:customStyle="1" w:styleId="125">
    <w:name w:val="header odd Char Char1"/>
    <w:qFormat/>
    <w:uiPriority w:val="0"/>
    <w:rPr>
      <w:rFonts w:eastAsia="宋体"/>
      <w:kern w:val="2"/>
      <w:sz w:val="18"/>
      <w:szCs w:val="18"/>
      <w:lang w:val="en-US" w:eastAsia="zh-CN" w:bidi="ar-SA"/>
    </w:rPr>
  </w:style>
  <w:style w:type="character" w:customStyle="1" w:styleId="126">
    <w:name w:val="正文标准样式ty Char2"/>
    <w:link w:val="127"/>
    <w:qFormat/>
    <w:uiPriority w:val="0"/>
    <w:rPr>
      <w:rFonts w:cs="宋体"/>
      <w:kern w:val="2"/>
      <w:sz w:val="24"/>
    </w:rPr>
  </w:style>
  <w:style w:type="paragraph" w:customStyle="1" w:styleId="127">
    <w:name w:val="正文标准样式ty"/>
    <w:basedOn w:val="1"/>
    <w:link w:val="126"/>
    <w:qFormat/>
    <w:uiPriority w:val="0"/>
    <w:pPr>
      <w:spacing w:line="360" w:lineRule="auto"/>
      <w:ind w:firstLine="480" w:firstLineChars="200"/>
    </w:pPr>
    <w:rPr>
      <w:sz w:val="24"/>
      <w:szCs w:val="20"/>
    </w:rPr>
  </w:style>
  <w:style w:type="character" w:customStyle="1" w:styleId="128">
    <w:name w:val="副标题 Char1"/>
    <w:qFormat/>
    <w:uiPriority w:val="0"/>
    <w:rPr>
      <w:rFonts w:ascii="Cambria" w:hAnsi="Cambria" w:cs="Times New Roman"/>
      <w:b/>
      <w:bCs/>
      <w:kern w:val="28"/>
      <w:sz w:val="32"/>
      <w:szCs w:val="32"/>
    </w:rPr>
  </w:style>
  <w:style w:type="character" w:customStyle="1" w:styleId="129">
    <w:name w:val="value"/>
    <w:qFormat/>
    <w:uiPriority w:val="0"/>
  </w:style>
  <w:style w:type="character" w:customStyle="1" w:styleId="130">
    <w:name w:val="第*章 Char"/>
    <w:qFormat/>
    <w:uiPriority w:val="0"/>
    <w:rPr>
      <w:rFonts w:eastAsia="微软雅黑"/>
      <w:kern w:val="2"/>
      <w:sz w:val="32"/>
      <w:szCs w:val="24"/>
      <w:lang w:val="en-US" w:eastAsia="zh-CN" w:bidi="ar-SA"/>
    </w:rPr>
  </w:style>
  <w:style w:type="character" w:customStyle="1" w:styleId="131">
    <w:name w:val="正文文本首行缩进 2 字符"/>
    <w:link w:val="132"/>
    <w:qFormat/>
    <w:uiPriority w:val="0"/>
    <w:rPr>
      <w:rFonts w:ascii="宋体" w:hAnsi="Courier New"/>
      <w:spacing w:val="-4"/>
      <w:kern w:val="2"/>
      <w:sz w:val="21"/>
      <w:szCs w:val="22"/>
    </w:rPr>
  </w:style>
  <w:style w:type="paragraph" w:customStyle="1" w:styleId="132">
    <w:name w:val="_Style 136"/>
    <w:basedOn w:val="18"/>
    <w:next w:val="41"/>
    <w:link w:val="131"/>
    <w:qFormat/>
    <w:uiPriority w:val="0"/>
    <w:pPr>
      <w:spacing w:after="120" w:line="240" w:lineRule="auto"/>
      <w:ind w:left="420" w:leftChars="200" w:firstLine="420" w:firstLineChars="200"/>
    </w:pPr>
    <w:rPr>
      <w:sz w:val="21"/>
      <w:szCs w:val="22"/>
    </w:rPr>
  </w:style>
  <w:style w:type="character" w:customStyle="1" w:styleId="133">
    <w:name w:val="正文文本 + 粗体"/>
    <w:qFormat/>
    <w:uiPriority w:val="0"/>
    <w:rPr>
      <w:rFonts w:ascii="MingLiU" w:hAnsi="MingLiU" w:eastAsia="MingLiU" w:cs="MingLiU"/>
      <w:b/>
      <w:bCs/>
      <w:color w:val="000000"/>
      <w:spacing w:val="0"/>
      <w:w w:val="100"/>
      <w:position w:val="0"/>
      <w:shd w:val="clear" w:color="auto" w:fill="FFFFFF"/>
      <w:lang w:val="zh-TW"/>
    </w:rPr>
  </w:style>
  <w:style w:type="character" w:customStyle="1" w:styleId="134">
    <w:name w:val="highlight"/>
    <w:qFormat/>
    <w:uiPriority w:val="0"/>
  </w:style>
  <w:style w:type="character" w:customStyle="1" w:styleId="135">
    <w:name w:val="zyp-正文 Char"/>
    <w:link w:val="136"/>
    <w:qFormat/>
    <w:uiPriority w:val="0"/>
    <w:rPr>
      <w:rFonts w:ascii="宋体" w:hAnsi="宋体"/>
      <w:color w:val="000000"/>
      <w:kern w:val="2"/>
      <w:sz w:val="28"/>
      <w:szCs w:val="18"/>
    </w:rPr>
  </w:style>
  <w:style w:type="paragraph" w:customStyle="1" w:styleId="136">
    <w:name w:val="zyp-正文"/>
    <w:basedOn w:val="37"/>
    <w:link w:val="135"/>
    <w:qFormat/>
    <w:uiPriority w:val="0"/>
    <w:pPr>
      <w:spacing w:before="0" w:beforeAutospacing="0" w:after="0" w:afterAutospacing="0" w:line="360" w:lineRule="auto"/>
      <w:ind w:firstLine="200" w:firstLineChars="200"/>
    </w:pPr>
    <w:rPr>
      <w:rFonts w:hint="default"/>
      <w:color w:val="000000"/>
      <w:kern w:val="2"/>
      <w:sz w:val="28"/>
      <w:szCs w:val="18"/>
    </w:rPr>
  </w:style>
  <w:style w:type="character" w:customStyle="1" w:styleId="137">
    <w:name w:val="Char2 Char"/>
    <w:qFormat/>
    <w:uiPriority w:val="0"/>
    <w:rPr>
      <w:rFonts w:ascii="Verdana" w:hAnsi="宋体" w:eastAsia="宋体" w:cs="Times New Roman"/>
      <w:sz w:val="28"/>
      <w:szCs w:val="28"/>
    </w:rPr>
  </w:style>
  <w:style w:type="character" w:customStyle="1" w:styleId="138">
    <w:name w:val="7.表小四 Char"/>
    <w:link w:val="139"/>
    <w:qFormat/>
    <w:uiPriority w:val="0"/>
    <w:rPr>
      <w:rFonts w:ascii="宋体" w:hAnsi="宋体"/>
      <w:kern w:val="2"/>
      <w:sz w:val="24"/>
      <w:szCs w:val="24"/>
    </w:rPr>
  </w:style>
  <w:style w:type="paragraph" w:customStyle="1" w:styleId="139">
    <w:name w:val="7.表小四"/>
    <w:basedOn w:val="1"/>
    <w:link w:val="138"/>
    <w:qFormat/>
    <w:uiPriority w:val="0"/>
    <w:pPr>
      <w:spacing w:beforeLines="50" w:afterLines="50"/>
    </w:pPr>
    <w:rPr>
      <w:rFonts w:ascii="宋体" w:hAnsi="宋体"/>
      <w:sz w:val="24"/>
      <w:szCs w:val="24"/>
    </w:rPr>
  </w:style>
  <w:style w:type="character" w:customStyle="1" w:styleId="140">
    <w:name w:val="正文（绿盟科技） Char"/>
    <w:link w:val="141"/>
    <w:qFormat/>
    <w:uiPriority w:val="0"/>
    <w:rPr>
      <w:rFonts w:ascii="Arial" w:hAnsi="Arial"/>
      <w:sz w:val="21"/>
      <w:szCs w:val="21"/>
      <w:lang w:val="en-US" w:eastAsia="zh-CN" w:bidi="ar-SA"/>
    </w:rPr>
  </w:style>
  <w:style w:type="paragraph" w:customStyle="1" w:styleId="141">
    <w:name w:val="正文（绿盟科技）"/>
    <w:link w:val="140"/>
    <w:qFormat/>
    <w:uiPriority w:val="0"/>
    <w:pPr>
      <w:spacing w:line="300" w:lineRule="auto"/>
    </w:pPr>
    <w:rPr>
      <w:rFonts w:ascii="Arial" w:hAnsi="Arial" w:eastAsia="宋体" w:cs="Times New Roman"/>
      <w:sz w:val="21"/>
      <w:szCs w:val="21"/>
      <w:lang w:val="en-US" w:eastAsia="zh-CN" w:bidi="ar-SA"/>
    </w:rPr>
  </w:style>
  <w:style w:type="character" w:customStyle="1" w:styleId="142">
    <w:name w:val="Subtle Reference"/>
    <w:qFormat/>
    <w:uiPriority w:val="0"/>
    <w:rPr>
      <w:smallCaps/>
      <w:color w:val="C0504D"/>
      <w:u w:val="single"/>
    </w:rPr>
  </w:style>
  <w:style w:type="character" w:customStyle="1" w:styleId="143">
    <w:name w:val="Intense Emphasis"/>
    <w:qFormat/>
    <w:uiPriority w:val="0"/>
    <w:rPr>
      <w:b/>
      <w:bCs/>
      <w:i/>
      <w:iCs/>
      <w:color w:val="4F81BD"/>
    </w:rPr>
  </w:style>
  <w:style w:type="character" w:customStyle="1" w:styleId="144">
    <w:name w:val="font9_black_line14"/>
    <w:qFormat/>
    <w:uiPriority w:val="0"/>
  </w:style>
  <w:style w:type="character" w:customStyle="1" w:styleId="145">
    <w:name w:val="封面日期 Char Char"/>
    <w:qFormat/>
    <w:uiPriority w:val="0"/>
    <w:rPr>
      <w:rFonts w:eastAsia="楷体_GB2312"/>
      <w:kern w:val="2"/>
      <w:sz w:val="32"/>
      <w:lang w:val="en-US" w:eastAsia="zh-CN" w:bidi="ar-SA"/>
    </w:rPr>
  </w:style>
  <w:style w:type="character" w:customStyle="1" w:styleId="146">
    <w:name w:val="大标题 Char"/>
    <w:link w:val="147"/>
    <w:qFormat/>
    <w:uiPriority w:val="0"/>
    <w:rPr>
      <w:b/>
      <w:sz w:val="28"/>
      <w:lang w:val="en-US" w:eastAsia="zh-CN" w:bidi="ar-SA"/>
    </w:rPr>
  </w:style>
  <w:style w:type="paragraph" w:customStyle="1" w:styleId="147">
    <w:name w:val="大标题"/>
    <w:next w:val="1"/>
    <w:link w:val="146"/>
    <w:qFormat/>
    <w:uiPriority w:val="0"/>
    <w:pPr>
      <w:spacing w:before="120" w:after="120" w:line="360" w:lineRule="auto"/>
    </w:pPr>
    <w:rPr>
      <w:rFonts w:ascii="Times New Roman" w:hAnsi="Times New Roman" w:eastAsia="宋体" w:cs="Times New Roman"/>
      <w:b/>
      <w:sz w:val="28"/>
      <w:lang w:val="en-US" w:eastAsia="zh-CN" w:bidi="ar-SA"/>
    </w:rPr>
  </w:style>
  <w:style w:type="character" w:customStyle="1" w:styleId="148">
    <w:name w:val="zyp-正文 Char Char"/>
    <w:qFormat/>
    <w:uiPriority w:val="0"/>
    <w:rPr>
      <w:rFonts w:ascii="宋体" w:hAnsi="宋体" w:eastAsia="宋体"/>
      <w:color w:val="000000"/>
      <w:kern w:val="2"/>
      <w:sz w:val="28"/>
      <w:szCs w:val="18"/>
      <w:lang w:val="en-US" w:eastAsia="zh-CN" w:bidi="ar-SA"/>
    </w:rPr>
  </w:style>
  <w:style w:type="character" w:customStyle="1" w:styleId="149">
    <w:name w:val="批注框文本 字符"/>
    <w:link w:val="26"/>
    <w:qFormat/>
    <w:uiPriority w:val="0"/>
    <w:rPr>
      <w:kern w:val="2"/>
      <w:sz w:val="18"/>
      <w:szCs w:val="18"/>
    </w:rPr>
  </w:style>
  <w:style w:type="character" w:customStyle="1" w:styleId="150">
    <w:name w:val="标题 5 字符"/>
    <w:link w:val="7"/>
    <w:qFormat/>
    <w:uiPriority w:val="0"/>
    <w:rPr>
      <w:rFonts w:ascii="Arial Unicode MS" w:hAnsi="Arial Unicode MS" w:eastAsia="等线"/>
      <w:b/>
      <w:bCs/>
      <w:color w:val="000000"/>
      <w:kern w:val="2"/>
      <w:sz w:val="28"/>
      <w:szCs w:val="28"/>
    </w:rPr>
  </w:style>
  <w:style w:type="character" w:customStyle="1" w:styleId="151">
    <w:name w:val="Char Char6"/>
    <w:qFormat/>
    <w:uiPriority w:val="0"/>
    <w:rPr>
      <w:rFonts w:ascii="Calibri" w:hAnsi="Calibri" w:eastAsia="宋体"/>
      <w:b/>
      <w:bCs/>
      <w:kern w:val="2"/>
      <w:sz w:val="28"/>
      <w:szCs w:val="28"/>
      <w:lang w:bidi="ar-SA"/>
    </w:rPr>
  </w:style>
  <w:style w:type="character" w:customStyle="1" w:styleId="152">
    <w:name w:val="bds_more10"/>
    <w:qFormat/>
    <w:uiPriority w:val="0"/>
  </w:style>
  <w:style w:type="character" w:customStyle="1" w:styleId="153">
    <w:name w:val="font01"/>
    <w:qFormat/>
    <w:uiPriority w:val="0"/>
    <w:rPr>
      <w:rFonts w:hint="eastAsia" w:ascii="宋体" w:hAnsi="宋体" w:eastAsia="宋体" w:cs="宋体"/>
      <w:color w:val="000000"/>
      <w:sz w:val="24"/>
      <w:szCs w:val="24"/>
      <w:u w:val="none"/>
    </w:rPr>
  </w:style>
  <w:style w:type="character" w:customStyle="1" w:styleId="154">
    <w:name w:val="标题 7 字符"/>
    <w:link w:val="9"/>
    <w:qFormat/>
    <w:uiPriority w:val="0"/>
    <w:rPr>
      <w:rFonts w:ascii="Times New Roman" w:hAnsi="Times New Roman"/>
      <w:b/>
      <w:bCs/>
      <w:kern w:val="2"/>
      <w:sz w:val="24"/>
      <w:szCs w:val="24"/>
    </w:rPr>
  </w:style>
  <w:style w:type="character" w:customStyle="1" w:styleId="155">
    <w:name w:val="批注主题 字符"/>
    <w:link w:val="39"/>
    <w:qFormat/>
    <w:uiPriority w:val="0"/>
    <w:rPr>
      <w:b/>
      <w:bCs/>
      <w:kern w:val="2"/>
      <w:sz w:val="21"/>
      <w:szCs w:val="22"/>
    </w:rPr>
  </w:style>
  <w:style w:type="character" w:customStyle="1" w:styleId="156">
    <w:name w:val="副标题 字符"/>
    <w:link w:val="31"/>
    <w:qFormat/>
    <w:uiPriority w:val="0"/>
    <w:rPr>
      <w:rFonts w:ascii="Cambria" w:hAnsi="Cambria"/>
      <w:b/>
      <w:bCs/>
      <w:kern w:val="28"/>
      <w:sz w:val="32"/>
      <w:szCs w:val="32"/>
    </w:rPr>
  </w:style>
  <w:style w:type="character" w:customStyle="1" w:styleId="157">
    <w:name w:val="Normal Indent Char Char"/>
    <w:qFormat/>
    <w:uiPriority w:val="0"/>
    <w:rPr>
      <w:rFonts w:eastAsia="宋体"/>
      <w:kern w:val="2"/>
      <w:sz w:val="21"/>
      <w:szCs w:val="24"/>
      <w:lang w:val="en-US" w:eastAsia="zh-CN" w:bidi="ar-SA"/>
    </w:rPr>
  </w:style>
  <w:style w:type="character" w:customStyle="1" w:styleId="158">
    <w:name w:val="页脚 字符1"/>
    <w:link w:val="27"/>
    <w:qFormat/>
    <w:uiPriority w:val="0"/>
    <w:rPr>
      <w:kern w:val="2"/>
      <w:sz w:val="18"/>
      <w:szCs w:val="18"/>
    </w:rPr>
  </w:style>
  <w:style w:type="character" w:customStyle="1" w:styleId="159">
    <w:name w:val="HTML 预设格式 Char2"/>
    <w:semiHidden/>
    <w:qFormat/>
    <w:uiPriority w:val="99"/>
    <w:rPr>
      <w:rFonts w:ascii="Courier New" w:hAnsi="Courier New" w:cs="Courier New"/>
      <w:kern w:val="2"/>
    </w:rPr>
  </w:style>
  <w:style w:type="character" w:customStyle="1" w:styleId="160">
    <w:name w:val="正文文本缩进 3 字符"/>
    <w:link w:val="33"/>
    <w:qFormat/>
    <w:uiPriority w:val="0"/>
    <w:rPr>
      <w:kern w:val="2"/>
      <w:sz w:val="16"/>
      <w:szCs w:val="16"/>
    </w:rPr>
  </w:style>
  <w:style w:type="character" w:customStyle="1" w:styleId="161">
    <w:name w:val="样式 首行缩进:  0.85 厘米 Char"/>
    <w:link w:val="162"/>
    <w:qFormat/>
    <w:uiPriority w:val="0"/>
    <w:rPr>
      <w:rFonts w:cs="宋体"/>
      <w:kern w:val="2"/>
      <w:sz w:val="24"/>
    </w:rPr>
  </w:style>
  <w:style w:type="paragraph" w:customStyle="1" w:styleId="162">
    <w:name w:val="样式 首行缩进:  0.85 厘米"/>
    <w:basedOn w:val="1"/>
    <w:link w:val="161"/>
    <w:qFormat/>
    <w:uiPriority w:val="0"/>
    <w:pPr>
      <w:spacing w:line="360" w:lineRule="auto"/>
      <w:ind w:firstLine="480"/>
    </w:pPr>
    <w:rPr>
      <w:sz w:val="24"/>
      <w:szCs w:val="20"/>
    </w:rPr>
  </w:style>
  <w:style w:type="character" w:customStyle="1" w:styleId="163">
    <w:name w:val="正文文本缩进 字符"/>
    <w:link w:val="18"/>
    <w:qFormat/>
    <w:uiPriority w:val="0"/>
    <w:rPr>
      <w:rFonts w:ascii="宋体" w:hAnsi="Courier New"/>
      <w:spacing w:val="-4"/>
      <w:kern w:val="2"/>
      <w:sz w:val="18"/>
    </w:rPr>
  </w:style>
  <w:style w:type="character" w:customStyle="1" w:styleId="164">
    <w:name w:val="标题1正文 Char Char Char Char Char"/>
    <w:link w:val="165"/>
    <w:qFormat/>
    <w:uiPriority w:val="0"/>
    <w:rPr>
      <w:kern w:val="2"/>
      <w:sz w:val="18"/>
      <w:szCs w:val="24"/>
    </w:rPr>
  </w:style>
  <w:style w:type="paragraph" w:customStyle="1" w:styleId="165">
    <w:name w:val="标题1正文 Char Char Char Char"/>
    <w:basedOn w:val="1"/>
    <w:link w:val="164"/>
    <w:qFormat/>
    <w:uiPriority w:val="0"/>
    <w:pPr>
      <w:ind w:firstLine="200" w:firstLineChars="200"/>
      <w:jc w:val="left"/>
    </w:pPr>
    <w:rPr>
      <w:sz w:val="18"/>
      <w:szCs w:val="24"/>
    </w:rPr>
  </w:style>
  <w:style w:type="character" w:customStyle="1" w:styleId="166">
    <w:name w:val="Char Char14"/>
    <w:qFormat/>
    <w:locked/>
    <w:uiPriority w:val="0"/>
    <w:rPr>
      <w:rFonts w:ascii="楷体_GB2312" w:eastAsia="楷体_GB2312"/>
      <w:kern w:val="2"/>
      <w:sz w:val="32"/>
      <w:lang w:val="en-US" w:eastAsia="zh-CN" w:bidi="ar-SA"/>
    </w:rPr>
  </w:style>
  <w:style w:type="character" w:customStyle="1" w:styleId="167">
    <w:name w:val="正文缩进 字符"/>
    <w:link w:val="2"/>
    <w:qFormat/>
    <w:uiPriority w:val="0"/>
    <w:rPr>
      <w:rFonts w:ascii="Times New Roman" w:hAnsi="Times New Roman"/>
      <w:kern w:val="2"/>
      <w:sz w:val="21"/>
    </w:rPr>
  </w:style>
  <w:style w:type="character" w:customStyle="1" w:styleId="168">
    <w:name w:val="二级标题 Char Char"/>
    <w:qFormat/>
    <w:uiPriority w:val="0"/>
    <w:rPr>
      <w:rFonts w:eastAsia="仿宋"/>
      <w:b/>
      <w:sz w:val="28"/>
      <w:lang w:val="en-US" w:eastAsia="zh-CN" w:bidi="ar-SA"/>
    </w:rPr>
  </w:style>
  <w:style w:type="character" w:customStyle="1" w:styleId="169">
    <w:name w:val="Intense Reference"/>
    <w:qFormat/>
    <w:uiPriority w:val="0"/>
    <w:rPr>
      <w:b/>
      <w:bCs/>
      <w:smallCaps/>
      <w:color w:val="C0504D"/>
      <w:spacing w:val="5"/>
      <w:u w:val="single"/>
    </w:rPr>
  </w:style>
  <w:style w:type="character" w:customStyle="1" w:styleId="170">
    <w:name w:val="标题 9 字符"/>
    <w:link w:val="11"/>
    <w:qFormat/>
    <w:uiPriority w:val="0"/>
    <w:rPr>
      <w:rFonts w:ascii="Arial" w:hAnsi="Arial" w:eastAsia="黑体"/>
      <w:kern w:val="2"/>
      <w:sz w:val="21"/>
    </w:rPr>
  </w:style>
  <w:style w:type="character" w:customStyle="1" w:styleId="171">
    <w:name w:val="flname7"/>
    <w:qFormat/>
    <w:uiPriority w:val="0"/>
  </w:style>
  <w:style w:type="character" w:customStyle="1" w:styleId="172">
    <w:name w:val="正文文本首行缩进 字符"/>
    <w:link w:val="40"/>
    <w:qFormat/>
    <w:uiPriority w:val="0"/>
  </w:style>
  <w:style w:type="character" w:customStyle="1" w:styleId="173">
    <w:name w:val="引用 Char1"/>
    <w:qFormat/>
    <w:uiPriority w:val="99"/>
    <w:rPr>
      <w:i/>
      <w:iCs/>
      <w:color w:val="000000"/>
      <w:sz w:val="24"/>
      <w:szCs w:val="24"/>
    </w:rPr>
  </w:style>
  <w:style w:type="character" w:customStyle="1" w:styleId="174">
    <w:name w:val="Char Char51"/>
    <w:qFormat/>
    <w:uiPriority w:val="0"/>
    <w:rPr>
      <w:rFonts w:ascii="Calibri" w:hAnsi="Calibri" w:eastAsia="宋体"/>
      <w:sz w:val="18"/>
      <w:szCs w:val="18"/>
      <w:lang w:bidi="ar-SA"/>
    </w:rPr>
  </w:style>
  <w:style w:type="character" w:customStyle="1" w:styleId="175">
    <w:name w:val="font151"/>
    <w:qFormat/>
    <w:uiPriority w:val="0"/>
    <w:rPr>
      <w:rFonts w:hint="eastAsia" w:ascii="宋体" w:hAnsi="宋体" w:eastAsia="宋体" w:cs="宋体"/>
      <w:color w:val="000000"/>
      <w:sz w:val="22"/>
      <w:szCs w:val="22"/>
      <w:u w:val="none"/>
    </w:rPr>
  </w:style>
  <w:style w:type="character" w:customStyle="1" w:styleId="176">
    <w:name w:val="Char Char131"/>
    <w:qFormat/>
    <w:uiPriority w:val="0"/>
    <w:rPr>
      <w:rFonts w:eastAsia="宋体"/>
      <w:b/>
      <w:bCs/>
      <w:color w:val="000000"/>
      <w:sz w:val="32"/>
      <w:szCs w:val="32"/>
      <w:lang w:val="en-US" w:eastAsia="zh-CN" w:bidi="ar-SA"/>
    </w:rPr>
  </w:style>
  <w:style w:type="character" w:customStyle="1" w:styleId="177">
    <w:name w:val="标题 2 字符"/>
    <w:link w:val="4"/>
    <w:qFormat/>
    <w:uiPriority w:val="0"/>
    <w:rPr>
      <w:rFonts w:eastAsia="@仿宋"/>
      <w:kern w:val="2"/>
      <w:sz w:val="32"/>
      <w:szCs w:val="24"/>
      <w:lang w:val="en-US" w:eastAsia="zh-CN" w:bidi="ar-SA"/>
    </w:rPr>
  </w:style>
  <w:style w:type="character" w:customStyle="1" w:styleId="178">
    <w:name w:val="列出段落 字符"/>
    <w:link w:val="179"/>
    <w:qFormat/>
    <w:locked/>
    <w:uiPriority w:val="34"/>
    <w:rPr>
      <w:rFonts w:ascii="Times New Roman" w:hAnsi="Times New Roman"/>
    </w:rPr>
  </w:style>
  <w:style w:type="paragraph" w:customStyle="1" w:styleId="179">
    <w:name w:val="列出段落1"/>
    <w:basedOn w:val="1"/>
    <w:link w:val="178"/>
    <w:qFormat/>
    <w:uiPriority w:val="34"/>
    <w:pPr>
      <w:ind w:firstLine="420" w:firstLineChars="200"/>
    </w:pPr>
    <w:rPr>
      <w:kern w:val="0"/>
      <w:sz w:val="20"/>
      <w:szCs w:val="20"/>
    </w:rPr>
  </w:style>
  <w:style w:type="character" w:customStyle="1" w:styleId="180">
    <w:name w:val="bds_more6"/>
    <w:qFormat/>
    <w:uiPriority w:val="0"/>
  </w:style>
  <w:style w:type="character" w:customStyle="1" w:styleId="181">
    <w:name w:val="华电 正文 Char"/>
    <w:link w:val="182"/>
    <w:qFormat/>
    <w:uiPriority w:val="0"/>
    <w:rPr>
      <w:rFonts w:ascii="宋体" w:hAnsi="宋体"/>
      <w:sz w:val="22"/>
    </w:rPr>
  </w:style>
  <w:style w:type="paragraph" w:customStyle="1" w:styleId="182">
    <w:name w:val="华电 正文"/>
    <w:basedOn w:val="1"/>
    <w:link w:val="181"/>
    <w:qFormat/>
    <w:uiPriority w:val="0"/>
    <w:pPr>
      <w:widowControl/>
      <w:spacing w:line="360" w:lineRule="auto"/>
      <w:ind w:firstLine="440" w:firstLineChars="200"/>
      <w:jc w:val="left"/>
    </w:pPr>
    <w:rPr>
      <w:rFonts w:ascii="宋体" w:hAnsi="宋体"/>
      <w:kern w:val="0"/>
      <w:sz w:val="22"/>
      <w:szCs w:val="20"/>
    </w:rPr>
  </w:style>
  <w:style w:type="character" w:customStyle="1" w:styleId="183">
    <w:name w:val="标题 4 字符"/>
    <w:link w:val="6"/>
    <w:qFormat/>
    <w:uiPriority w:val="0"/>
    <w:rPr>
      <w:rFonts w:ascii="Cambria" w:hAnsi="Cambria"/>
      <w:b/>
      <w:bCs/>
      <w:kern w:val="2"/>
      <w:sz w:val="28"/>
      <w:szCs w:val="28"/>
    </w:rPr>
  </w:style>
  <w:style w:type="character" w:customStyle="1" w:styleId="184">
    <w:name w:val="info4"/>
    <w:qFormat/>
    <w:uiPriority w:val="0"/>
  </w:style>
  <w:style w:type="character" w:customStyle="1" w:styleId="185">
    <w:name w:val="font21"/>
    <w:qFormat/>
    <w:uiPriority w:val="0"/>
    <w:rPr>
      <w:rFonts w:ascii="宋体" w:hAnsi="宋体" w:eastAsia="宋体" w:cs="宋体"/>
      <w:color w:val="000000"/>
      <w:sz w:val="22"/>
      <w:szCs w:val="22"/>
      <w:u w:val="none"/>
    </w:rPr>
  </w:style>
  <w:style w:type="character" w:customStyle="1" w:styleId="186">
    <w:name w:val="标题 字符"/>
    <w:link w:val="38"/>
    <w:qFormat/>
    <w:uiPriority w:val="0"/>
    <w:rPr>
      <w:rFonts w:ascii="Arial" w:hAnsi="Arial"/>
      <w:b/>
      <w:bCs/>
      <w:sz w:val="32"/>
      <w:szCs w:val="32"/>
    </w:rPr>
  </w:style>
  <w:style w:type="character" w:customStyle="1" w:styleId="187">
    <w:name w:val="公文正文 Char"/>
    <w:link w:val="188"/>
    <w:qFormat/>
    <w:uiPriority w:val="0"/>
    <w:rPr>
      <w:rFonts w:ascii="仿宋_GB2312" w:eastAsia="仿宋_GB2312"/>
      <w:kern w:val="2"/>
      <w:sz w:val="24"/>
      <w:szCs w:val="24"/>
    </w:rPr>
  </w:style>
  <w:style w:type="paragraph" w:customStyle="1" w:styleId="188">
    <w:name w:val="公文正文"/>
    <w:basedOn w:val="1"/>
    <w:link w:val="187"/>
    <w:qFormat/>
    <w:uiPriority w:val="0"/>
    <w:pPr>
      <w:spacing w:before="156" w:line="360" w:lineRule="auto"/>
      <w:ind w:firstLine="360" w:firstLineChars="200"/>
    </w:pPr>
    <w:rPr>
      <w:rFonts w:ascii="仿宋_GB2312" w:eastAsia="仿宋_GB2312"/>
      <w:sz w:val="24"/>
      <w:szCs w:val="24"/>
    </w:rPr>
  </w:style>
  <w:style w:type="character" w:customStyle="1" w:styleId="189">
    <w:name w:val="headline-content2"/>
    <w:qFormat/>
    <w:uiPriority w:val="0"/>
  </w:style>
  <w:style w:type="character" w:customStyle="1" w:styleId="190">
    <w:name w:val="正文文本 2 字符"/>
    <w:link w:val="35"/>
    <w:qFormat/>
    <w:uiPriority w:val="0"/>
    <w:rPr>
      <w:kern w:val="2"/>
      <w:sz w:val="21"/>
      <w:szCs w:val="22"/>
    </w:rPr>
  </w:style>
  <w:style w:type="character" w:customStyle="1" w:styleId="191">
    <w:name w:val="封面日期 Char Char1"/>
    <w:qFormat/>
    <w:uiPriority w:val="0"/>
    <w:rPr>
      <w:rFonts w:eastAsia="楷体_GB2312"/>
      <w:kern w:val="2"/>
      <w:sz w:val="32"/>
      <w:lang w:val="en-US" w:eastAsia="zh-CN" w:bidi="ar-SA"/>
    </w:rPr>
  </w:style>
  <w:style w:type="character" w:customStyle="1" w:styleId="192">
    <w:name w:val="font51"/>
    <w:qFormat/>
    <w:uiPriority w:val="0"/>
    <w:rPr>
      <w:rFonts w:ascii="Arial" w:hAnsi="Arial" w:cs="Arial"/>
      <w:color w:val="000000"/>
      <w:sz w:val="22"/>
      <w:szCs w:val="22"/>
      <w:u w:val="none"/>
    </w:rPr>
  </w:style>
  <w:style w:type="character" w:customStyle="1" w:styleId="193">
    <w:name w:val="样式 正文缩进 + 首行缩进:  2 字符 Char"/>
    <w:link w:val="194"/>
    <w:qFormat/>
    <w:uiPriority w:val="0"/>
    <w:rPr>
      <w:kern w:val="2"/>
      <w:sz w:val="24"/>
    </w:rPr>
  </w:style>
  <w:style w:type="paragraph" w:customStyle="1" w:styleId="194">
    <w:name w:val="样式 正文缩进 + 首行缩进:  2 字符"/>
    <w:basedOn w:val="2"/>
    <w:link w:val="193"/>
    <w:qFormat/>
    <w:uiPriority w:val="0"/>
    <w:pPr>
      <w:spacing w:line="360" w:lineRule="auto"/>
      <w:ind w:firstLine="480" w:firstLineChars="200"/>
    </w:pPr>
    <w:rPr>
      <w:rFonts w:ascii="Calibri" w:hAnsi="Calibri"/>
      <w:sz w:val="24"/>
    </w:rPr>
  </w:style>
  <w:style w:type="character" w:customStyle="1" w:styleId="195">
    <w:name w:val="font61"/>
    <w:qFormat/>
    <w:uiPriority w:val="0"/>
    <w:rPr>
      <w:rFonts w:hint="eastAsia" w:ascii="宋体" w:hAnsi="宋体" w:eastAsia="宋体" w:cs="宋体"/>
      <w:color w:val="000000"/>
      <w:sz w:val="21"/>
      <w:szCs w:val="21"/>
      <w:u w:val="none"/>
    </w:rPr>
  </w:style>
  <w:style w:type="character" w:customStyle="1" w:styleId="196">
    <w:name w:val="apple-style-span"/>
    <w:qFormat/>
    <w:uiPriority w:val="0"/>
  </w:style>
  <w:style w:type="character" w:customStyle="1" w:styleId="197">
    <w:name w:val="日期 字符"/>
    <w:link w:val="24"/>
    <w:qFormat/>
    <w:uiPriority w:val="0"/>
    <w:rPr>
      <w:rFonts w:ascii="宋体" w:hAnsi="宋体" w:cs="宋体"/>
      <w:sz w:val="24"/>
      <w:szCs w:val="24"/>
    </w:rPr>
  </w:style>
  <w:style w:type="character" w:customStyle="1" w:styleId="198">
    <w:name w:val="日期 Char1"/>
    <w:semiHidden/>
    <w:qFormat/>
    <w:uiPriority w:val="99"/>
    <w:rPr>
      <w:kern w:val="2"/>
      <w:sz w:val="21"/>
      <w:szCs w:val="22"/>
    </w:rPr>
  </w:style>
  <w:style w:type="character" w:customStyle="1" w:styleId="199">
    <w:name w:val="正文文本 3 字符"/>
    <w:link w:val="16"/>
    <w:qFormat/>
    <w:uiPriority w:val="0"/>
    <w:rPr>
      <w:kern w:val="2"/>
      <w:sz w:val="16"/>
      <w:szCs w:val="16"/>
    </w:rPr>
  </w:style>
  <w:style w:type="character" w:customStyle="1" w:styleId="200">
    <w:name w:val="题注 字符"/>
    <w:link w:val="13"/>
    <w:qFormat/>
    <w:uiPriority w:val="0"/>
    <w:rPr>
      <w:rFonts w:ascii="Arial" w:hAnsi="Arial" w:eastAsia="黑体" w:cs="Arial"/>
      <w:kern w:val="2"/>
    </w:rPr>
  </w:style>
  <w:style w:type="character" w:customStyle="1" w:styleId="201">
    <w:name w:val="wj"/>
    <w:qFormat/>
    <w:uiPriority w:val="0"/>
  </w:style>
  <w:style w:type="character" w:customStyle="1" w:styleId="202">
    <w:name w:val="Char Char11"/>
    <w:qFormat/>
    <w:uiPriority w:val="0"/>
    <w:rPr>
      <w:rFonts w:eastAsia="楷体_GB2312"/>
      <w:kern w:val="2"/>
      <w:sz w:val="32"/>
      <w:lang w:val="en-US" w:eastAsia="zh-CN" w:bidi="ar-SA"/>
    </w:rPr>
  </w:style>
  <w:style w:type="character" w:customStyle="1" w:styleId="203">
    <w:name w:val="正文文本 字符"/>
    <w:link w:val="17"/>
    <w:qFormat/>
    <w:uiPriority w:val="0"/>
    <w:rPr>
      <w:kern w:val="2"/>
      <w:sz w:val="21"/>
      <w:szCs w:val="22"/>
    </w:rPr>
  </w:style>
  <w:style w:type="character" w:customStyle="1" w:styleId="204">
    <w:name w:val="明显引用 字符"/>
    <w:link w:val="205"/>
    <w:qFormat/>
    <w:uiPriority w:val="0"/>
    <w:rPr>
      <w:b/>
      <w:bCs/>
      <w:i/>
      <w:iCs/>
      <w:color w:val="4F81BD"/>
      <w:kern w:val="2"/>
      <w:sz w:val="21"/>
      <w:szCs w:val="22"/>
    </w:rPr>
  </w:style>
  <w:style w:type="paragraph" w:styleId="205">
    <w:name w:val="Intense Quote"/>
    <w:basedOn w:val="1"/>
    <w:next w:val="1"/>
    <w:link w:val="204"/>
    <w:qFormat/>
    <w:uiPriority w:val="0"/>
    <w:pPr>
      <w:pBdr>
        <w:bottom w:val="single" w:color="4F81BD" w:sz="4" w:space="4"/>
      </w:pBdr>
      <w:spacing w:before="200" w:after="280"/>
      <w:ind w:left="936" w:right="936"/>
    </w:pPr>
    <w:rPr>
      <w:b/>
      <w:bCs/>
      <w:i/>
      <w:iCs/>
      <w:color w:val="4F81BD"/>
    </w:rPr>
  </w:style>
  <w:style w:type="character" w:customStyle="1" w:styleId="206">
    <w:name w:val="批注文字 字符1"/>
    <w:link w:val="15"/>
    <w:qFormat/>
    <w:uiPriority w:val="0"/>
    <w:rPr>
      <w:kern w:val="2"/>
      <w:sz w:val="21"/>
      <w:szCs w:val="22"/>
    </w:rPr>
  </w:style>
  <w:style w:type="character" w:customStyle="1" w:styleId="207">
    <w:name w:val="大汉方案正文 Char Char Char"/>
    <w:link w:val="208"/>
    <w:qFormat/>
    <w:uiPriority w:val="0"/>
    <w:rPr>
      <w:rFonts w:ascii="Arial" w:hAnsi="Arial"/>
      <w:sz w:val="24"/>
      <w:szCs w:val="24"/>
    </w:rPr>
  </w:style>
  <w:style w:type="paragraph" w:customStyle="1" w:styleId="208">
    <w:name w:val="大汉方案正文 Char"/>
    <w:basedOn w:val="1"/>
    <w:link w:val="207"/>
    <w:qFormat/>
    <w:uiPriority w:val="0"/>
    <w:pPr>
      <w:spacing w:line="360" w:lineRule="auto"/>
      <w:ind w:firstLine="200" w:firstLineChars="200"/>
    </w:pPr>
    <w:rPr>
      <w:rFonts w:ascii="Arial" w:hAnsi="Arial"/>
      <w:kern w:val="0"/>
      <w:sz w:val="24"/>
      <w:szCs w:val="24"/>
    </w:rPr>
  </w:style>
  <w:style w:type="character" w:customStyle="1" w:styleId="209">
    <w:name w:val="HTML 预设格式 字符"/>
    <w:link w:val="36"/>
    <w:qFormat/>
    <w:uiPriority w:val="99"/>
    <w:rPr>
      <w:rFonts w:ascii="宋体" w:hAnsi="宋体" w:cs="宋体"/>
      <w:sz w:val="24"/>
      <w:szCs w:val="24"/>
    </w:rPr>
  </w:style>
  <w:style w:type="character" w:customStyle="1" w:styleId="210">
    <w:name w:val="表正文 Char2"/>
    <w:qFormat/>
    <w:uiPriority w:val="0"/>
    <w:rPr>
      <w:rFonts w:eastAsia="宋体"/>
      <w:kern w:val="2"/>
      <w:sz w:val="21"/>
      <w:lang w:val="en-US" w:eastAsia="zh-CN" w:bidi="ar-SA"/>
    </w:rPr>
  </w:style>
  <w:style w:type="character" w:customStyle="1" w:styleId="211">
    <w:name w:val="Z2 Char Char"/>
    <w:qFormat/>
    <w:uiPriority w:val="0"/>
    <w:rPr>
      <w:rFonts w:ascii="Arial" w:hAnsi="Arial" w:eastAsia="黑体"/>
      <w:b/>
      <w:bCs/>
      <w:sz w:val="32"/>
      <w:szCs w:val="32"/>
      <w:lang w:val="en-US" w:eastAsia="zh-CN" w:bidi="ar-SA"/>
    </w:rPr>
  </w:style>
  <w:style w:type="character" w:customStyle="1" w:styleId="212">
    <w:name w:val="mark"/>
    <w:qFormat/>
    <w:uiPriority w:val="0"/>
    <w:rPr>
      <w:rFonts w:cs="Times New Roman"/>
    </w:rPr>
  </w:style>
  <w:style w:type="character" w:customStyle="1" w:styleId="213">
    <w:name w:val="标题 8 字符"/>
    <w:link w:val="10"/>
    <w:qFormat/>
    <w:uiPriority w:val="0"/>
    <w:rPr>
      <w:rFonts w:ascii="Arial" w:hAnsi="Arial" w:eastAsia="黑体"/>
      <w:kern w:val="2"/>
      <w:sz w:val="24"/>
    </w:rPr>
  </w:style>
  <w:style w:type="character" w:customStyle="1" w:styleId="214">
    <w:name w:val="标题 Char1"/>
    <w:qFormat/>
    <w:uiPriority w:val="10"/>
    <w:rPr>
      <w:rFonts w:ascii="Cambria" w:hAnsi="Cambria" w:cs="Times New Roman"/>
      <w:b/>
      <w:bCs/>
      <w:kern w:val="2"/>
      <w:sz w:val="32"/>
      <w:szCs w:val="32"/>
    </w:rPr>
  </w:style>
  <w:style w:type="character" w:customStyle="1" w:styleId="215">
    <w:name w:val="正文文本缩进 2 字符"/>
    <w:link w:val="25"/>
    <w:qFormat/>
    <w:uiPriority w:val="0"/>
    <w:rPr>
      <w:kern w:val="2"/>
      <w:sz w:val="21"/>
      <w:szCs w:val="22"/>
    </w:rPr>
  </w:style>
  <w:style w:type="character" w:customStyle="1" w:styleId="216">
    <w:name w:val="正文首行缩进 Char2"/>
    <w:semiHidden/>
    <w:qFormat/>
    <w:uiPriority w:val="99"/>
  </w:style>
  <w:style w:type="character" w:customStyle="1" w:styleId="217">
    <w:name w:val="正文首行缩进 Char1"/>
    <w:semiHidden/>
    <w:qFormat/>
    <w:uiPriority w:val="99"/>
  </w:style>
  <w:style w:type="character" w:customStyle="1" w:styleId="218">
    <w:name w:val="纯文本 字符"/>
    <w:link w:val="23"/>
    <w:qFormat/>
    <w:uiPriority w:val="0"/>
    <w:rPr>
      <w:rFonts w:ascii="宋体" w:hAnsi="Courier New"/>
      <w:kern w:val="2"/>
      <w:sz w:val="24"/>
      <w:szCs w:val="24"/>
    </w:rPr>
  </w:style>
  <w:style w:type="character" w:customStyle="1" w:styleId="219">
    <w:name w:val="Char Char31"/>
    <w:qFormat/>
    <w:uiPriority w:val="0"/>
    <w:rPr>
      <w:kern w:val="2"/>
      <w:sz w:val="18"/>
    </w:rPr>
  </w:style>
  <w:style w:type="character" w:customStyle="1" w:styleId="220">
    <w:name w:val="正文文本首行缩进 2 字符1"/>
    <w:link w:val="41"/>
    <w:qFormat/>
    <w:uiPriority w:val="0"/>
    <w:rPr>
      <w:rFonts w:ascii="宋体" w:hAnsi="Courier New"/>
      <w:spacing w:val="-4"/>
      <w:kern w:val="2"/>
      <w:sz w:val="21"/>
      <w:szCs w:val="22"/>
    </w:rPr>
  </w:style>
  <w:style w:type="character" w:customStyle="1" w:styleId="221">
    <w:name w:val="表正文 Char1"/>
    <w:qFormat/>
    <w:uiPriority w:val="0"/>
    <w:rPr>
      <w:rFonts w:eastAsia="宋体"/>
      <w:kern w:val="2"/>
      <w:sz w:val="24"/>
      <w:lang w:val="en-US" w:eastAsia="zh-CN"/>
    </w:rPr>
  </w:style>
  <w:style w:type="character" w:customStyle="1" w:styleId="222">
    <w:name w:val="标题 1 字符"/>
    <w:link w:val="3"/>
    <w:qFormat/>
    <w:uiPriority w:val="0"/>
    <w:rPr>
      <w:rFonts w:ascii="Times New Roman" w:hAnsi="Times New Roman"/>
      <w:sz w:val="24"/>
      <w:szCs w:val="24"/>
    </w:rPr>
  </w:style>
  <w:style w:type="character" w:customStyle="1" w:styleId="223">
    <w:name w:val="polysemyexp"/>
    <w:qFormat/>
    <w:uiPriority w:val="0"/>
    <w:rPr>
      <w:color w:val="AAAAAA"/>
      <w:sz w:val="18"/>
      <w:szCs w:val="18"/>
    </w:rPr>
  </w:style>
  <w:style w:type="character" w:customStyle="1" w:styleId="224">
    <w:name w:val="Subtle Emphasis"/>
    <w:qFormat/>
    <w:uiPriority w:val="0"/>
    <w:rPr>
      <w:i/>
      <w:iCs/>
      <w:color w:val="808080"/>
    </w:rPr>
  </w:style>
  <w:style w:type="character" w:customStyle="1" w:styleId="225">
    <w:name w:val="无间隔 Char"/>
    <w:link w:val="226"/>
    <w:qFormat/>
    <w:locked/>
    <w:uiPriority w:val="0"/>
    <w:rPr>
      <w:rFonts w:eastAsia="Times New Roman"/>
      <w:kern w:val="2"/>
      <w:sz w:val="24"/>
      <w:szCs w:val="24"/>
      <w:lang w:val="en-US" w:eastAsia="zh-CN" w:bidi="ar-SA"/>
    </w:rPr>
  </w:style>
  <w:style w:type="paragraph" w:customStyle="1" w:styleId="226">
    <w:name w:val="无间隔1"/>
    <w:link w:val="225"/>
    <w:qFormat/>
    <w:uiPriority w:val="0"/>
    <w:pPr>
      <w:widowControl w:val="0"/>
      <w:jc w:val="both"/>
    </w:pPr>
    <w:rPr>
      <w:rFonts w:ascii="Times New Roman" w:hAnsi="Times New Roman" w:eastAsia="Times New Roman" w:cs="Times New Roman"/>
      <w:kern w:val="2"/>
      <w:sz w:val="24"/>
      <w:szCs w:val="24"/>
      <w:lang w:val="en-US" w:eastAsia="zh-CN" w:bidi="ar-SA"/>
    </w:rPr>
  </w:style>
  <w:style w:type="character" w:customStyle="1" w:styleId="227">
    <w:name w:val="标题 3 字符"/>
    <w:link w:val="5"/>
    <w:qFormat/>
    <w:uiPriority w:val="0"/>
    <w:rPr>
      <w:rFonts w:ascii="(使用中文字体)" w:hAnsi="(使用中文字体)" w:eastAsia="(使用中文字体)" w:cs="(使用中文字体)"/>
      <w:b/>
      <w:bCs/>
      <w:kern w:val="2"/>
      <w:sz w:val="32"/>
      <w:szCs w:val="32"/>
    </w:rPr>
  </w:style>
  <w:style w:type="character" w:customStyle="1" w:styleId="228">
    <w:name w:val="标题 1 Char Char"/>
    <w:qFormat/>
    <w:uiPriority w:val="0"/>
    <w:rPr>
      <w:rFonts w:eastAsia="宋体"/>
      <w:b/>
      <w:spacing w:val="-2"/>
      <w:sz w:val="24"/>
      <w:lang w:val="en-US" w:eastAsia="zh-CN" w:bidi="ar-SA"/>
    </w:rPr>
  </w:style>
  <w:style w:type="character" w:customStyle="1" w:styleId="229">
    <w:name w:val="Book Title"/>
    <w:qFormat/>
    <w:uiPriority w:val="0"/>
    <w:rPr>
      <w:b/>
      <w:bCs/>
      <w:smallCaps/>
      <w:spacing w:val="5"/>
    </w:rPr>
  </w:style>
  <w:style w:type="character" w:customStyle="1" w:styleId="230">
    <w:name w:val="文档结构图 字符"/>
    <w:link w:val="14"/>
    <w:qFormat/>
    <w:uiPriority w:val="0"/>
    <w:rPr>
      <w:rFonts w:ascii="Times New Roman" w:hAnsi="Times New Roman"/>
      <w:kern w:val="2"/>
      <w:sz w:val="21"/>
      <w:szCs w:val="24"/>
      <w:shd w:val="clear" w:color="auto" w:fill="000080"/>
    </w:rPr>
  </w:style>
  <w:style w:type="character" w:customStyle="1" w:styleId="231">
    <w:name w:val="font41"/>
    <w:qFormat/>
    <w:uiPriority w:val="0"/>
    <w:rPr>
      <w:rFonts w:hint="eastAsia" w:ascii="宋体" w:hAnsi="宋体" w:eastAsia="宋体" w:cs="宋体"/>
      <w:color w:val="000000"/>
      <w:sz w:val="22"/>
      <w:szCs w:val="22"/>
      <w:u w:val="none"/>
    </w:rPr>
  </w:style>
  <w:style w:type="character" w:customStyle="1" w:styleId="232">
    <w:name w:val="标题 6 字符"/>
    <w:link w:val="8"/>
    <w:qFormat/>
    <w:uiPriority w:val="0"/>
    <w:rPr>
      <w:rFonts w:ascii="Times New Roman" w:hAnsi="Times New Roman"/>
      <w:kern w:val="2"/>
      <w:sz w:val="28"/>
    </w:rPr>
  </w:style>
  <w:style w:type="character" w:customStyle="1" w:styleId="233">
    <w:name w:val="样式4 Char"/>
    <w:link w:val="234"/>
    <w:qFormat/>
    <w:uiPriority w:val="0"/>
    <w:rPr>
      <w:kern w:val="2"/>
      <w:sz w:val="24"/>
      <w:szCs w:val="22"/>
    </w:rPr>
  </w:style>
  <w:style w:type="paragraph" w:customStyle="1" w:styleId="234">
    <w:name w:val="样式4"/>
    <w:basedOn w:val="1"/>
    <w:link w:val="233"/>
    <w:qFormat/>
    <w:uiPriority w:val="0"/>
    <w:pPr>
      <w:spacing w:line="360" w:lineRule="auto"/>
    </w:pPr>
    <w:rPr>
      <w:sz w:val="24"/>
    </w:rPr>
  </w:style>
  <w:style w:type="character" w:customStyle="1" w:styleId="235">
    <w:name w:val="font81"/>
    <w:qFormat/>
    <w:uiPriority w:val="0"/>
    <w:rPr>
      <w:rFonts w:ascii="宋体" w:hAnsi="宋体" w:eastAsia="宋体" w:cs="宋体"/>
      <w:color w:val="000000"/>
      <w:sz w:val="24"/>
      <w:szCs w:val="24"/>
      <w:u w:val="none"/>
    </w:rPr>
  </w:style>
  <w:style w:type="character" w:customStyle="1" w:styleId="236">
    <w:name w:val="列表段落 字符"/>
    <w:link w:val="237"/>
    <w:qFormat/>
    <w:uiPriority w:val="0"/>
    <w:rPr>
      <w:kern w:val="2"/>
      <w:sz w:val="21"/>
      <w:szCs w:val="22"/>
    </w:rPr>
  </w:style>
  <w:style w:type="paragraph" w:styleId="237">
    <w:name w:val="List Paragraph"/>
    <w:basedOn w:val="1"/>
    <w:link w:val="236"/>
    <w:qFormat/>
    <w:uiPriority w:val="0"/>
    <w:pPr>
      <w:ind w:firstLine="420" w:firstLineChars="200"/>
    </w:pPr>
  </w:style>
  <w:style w:type="paragraph" w:customStyle="1" w:styleId="238">
    <w:name w:val="_Style 164"/>
    <w:basedOn w:val="1"/>
    <w:qFormat/>
    <w:uiPriority w:val="0"/>
    <w:rPr>
      <w:szCs w:val="20"/>
    </w:rPr>
  </w:style>
  <w:style w:type="paragraph" w:customStyle="1" w:styleId="23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kern w:val="0"/>
      <w:sz w:val="36"/>
      <w:szCs w:val="36"/>
    </w:rPr>
  </w:style>
  <w:style w:type="paragraph" w:customStyle="1" w:styleId="24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2">
    <w:name w:val="标准小四"/>
    <w:basedOn w:val="1"/>
    <w:qFormat/>
    <w:uiPriority w:val="0"/>
    <w:pPr>
      <w:spacing w:line="360" w:lineRule="auto"/>
      <w:ind w:firstLine="480" w:firstLineChars="200"/>
    </w:pPr>
    <w:rPr>
      <w:rFonts w:ascii="Arial" w:hAnsi="Arial"/>
      <w:sz w:val="24"/>
      <w:szCs w:val="21"/>
    </w:rPr>
  </w:style>
  <w:style w:type="paragraph" w:customStyle="1" w:styleId="24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36"/>
      <w:szCs w:val="36"/>
    </w:rPr>
  </w:style>
  <w:style w:type="paragraph" w:customStyle="1" w:styleId="245">
    <w:name w:val="xl32"/>
    <w:basedOn w:val="1"/>
    <w:qFormat/>
    <w:uiPriority w:val="0"/>
    <w:pPr>
      <w:widowControl/>
      <w:spacing w:before="100" w:beforeAutospacing="1" w:after="100" w:afterAutospacing="1"/>
      <w:jc w:val="center"/>
      <w:textAlignment w:val="center"/>
    </w:pPr>
    <w:rPr>
      <w:kern w:val="0"/>
      <w:sz w:val="28"/>
      <w:szCs w:val="28"/>
    </w:rPr>
  </w:style>
  <w:style w:type="paragraph" w:customStyle="1" w:styleId="246">
    <w:name w:val="font12"/>
    <w:basedOn w:val="1"/>
    <w:qFormat/>
    <w:uiPriority w:val="0"/>
    <w:pPr>
      <w:widowControl/>
      <w:spacing w:before="100" w:beforeAutospacing="1" w:after="100" w:afterAutospacing="1"/>
      <w:jc w:val="left"/>
    </w:pPr>
    <w:rPr>
      <w:color w:val="000000"/>
      <w:kern w:val="0"/>
      <w:sz w:val="36"/>
      <w:szCs w:val="36"/>
    </w:rPr>
  </w:style>
  <w:style w:type="paragraph" w:customStyle="1" w:styleId="247">
    <w:name w:val="默认段落字体 Para Char Char Char Char Char Char Char Char Char Char"/>
    <w:basedOn w:val="1"/>
    <w:qFormat/>
    <w:uiPriority w:val="0"/>
    <w:rPr>
      <w:rFonts w:ascii="Tahoma" w:hAnsi="Tahoma"/>
      <w:sz w:val="24"/>
      <w:szCs w:val="20"/>
    </w:rPr>
  </w:style>
  <w:style w:type="paragraph" w:customStyle="1" w:styleId="248">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249">
    <w:name w:val="列出段落3"/>
    <w:basedOn w:val="1"/>
    <w:qFormat/>
    <w:uiPriority w:val="0"/>
    <w:pPr>
      <w:ind w:firstLine="420" w:firstLineChars="200"/>
    </w:pPr>
    <w:rPr>
      <w:szCs w:val="24"/>
    </w:rPr>
  </w:style>
  <w:style w:type="paragraph" w:customStyle="1" w:styleId="25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251">
    <w:name w:val="[Normal]"/>
    <w:qFormat/>
    <w:uiPriority w:val="0"/>
    <w:rPr>
      <w:rFonts w:ascii="宋体" w:hAnsi="宋体" w:eastAsia="宋体" w:cs="Times New Roman"/>
      <w:sz w:val="24"/>
      <w:szCs w:val="22"/>
      <w:lang w:val="zh-CN" w:eastAsia="zh-CN" w:bidi="ar-SA"/>
    </w:rPr>
  </w:style>
  <w:style w:type="paragraph" w:customStyle="1" w:styleId="252">
    <w:name w:val="Char Char Char Char Char Char Char"/>
    <w:basedOn w:val="1"/>
    <w:qFormat/>
    <w:uiPriority w:val="0"/>
    <w:pPr>
      <w:tabs>
        <w:tab w:val="left" w:pos="432"/>
      </w:tabs>
      <w:ind w:left="432" w:hanging="432"/>
    </w:pPr>
    <w:rPr>
      <w:rFonts w:ascii="Tahoma" w:hAnsi="Tahoma"/>
      <w:sz w:val="24"/>
      <w:szCs w:val="20"/>
    </w:rPr>
  </w:style>
  <w:style w:type="paragraph" w:customStyle="1" w:styleId="253">
    <w:name w:val="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4">
    <w:name w:val="文档正文 Char"/>
    <w:basedOn w:val="1"/>
    <w:qFormat/>
    <w:uiPriority w:val="0"/>
    <w:pPr>
      <w:adjustRightInd w:val="0"/>
      <w:spacing w:line="500" w:lineRule="atLeast"/>
      <w:ind w:firstLine="567"/>
    </w:pPr>
    <w:rPr>
      <w:rFonts w:hint="eastAsia" w:ascii="仿宋_GB2312" w:eastAsia="仿宋_GB2312"/>
      <w:sz w:val="28"/>
      <w:szCs w:val="24"/>
    </w:rPr>
  </w:style>
  <w:style w:type="paragraph" w:customStyle="1" w:styleId="255">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56">
    <w:name w:val="mod_selection1"/>
    <w:basedOn w:val="1"/>
    <w:qFormat/>
    <w:uiPriority w:val="0"/>
    <w:pPr>
      <w:widowControl/>
      <w:ind w:left="75"/>
      <w:jc w:val="left"/>
    </w:pPr>
    <w:rPr>
      <w:rFonts w:ascii="Arial" w:hAnsi="Arial" w:cs="Arial"/>
      <w:b/>
      <w:bCs/>
      <w:kern w:val="0"/>
      <w:sz w:val="20"/>
      <w:szCs w:val="20"/>
    </w:rPr>
  </w:style>
  <w:style w:type="paragraph" w:customStyle="1" w:styleId="257">
    <w:name w:val="Char1 Char Char Char"/>
    <w:basedOn w:val="1"/>
    <w:qFormat/>
    <w:uiPriority w:val="0"/>
    <w:rPr>
      <w:rFonts w:ascii="Tahoma" w:hAnsi="Tahoma"/>
      <w:sz w:val="24"/>
      <w:szCs w:val="20"/>
    </w:rPr>
  </w:style>
  <w:style w:type="paragraph" w:customStyle="1" w:styleId="258">
    <w:name w:val="font9"/>
    <w:basedOn w:val="1"/>
    <w:qFormat/>
    <w:uiPriority w:val="0"/>
    <w:pPr>
      <w:widowControl/>
      <w:spacing w:before="100" w:beforeAutospacing="1" w:after="100" w:afterAutospacing="1"/>
      <w:jc w:val="left"/>
    </w:pPr>
    <w:rPr>
      <w:rFonts w:ascii="宋体" w:hAnsi="宋体" w:cs="宋体"/>
      <w:color w:val="000000"/>
      <w:kern w:val="0"/>
      <w:sz w:val="36"/>
      <w:szCs w:val="36"/>
    </w:rPr>
  </w:style>
  <w:style w:type="paragraph" w:customStyle="1" w:styleId="259">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260">
    <w:name w:val="列出段落2"/>
    <w:basedOn w:val="1"/>
    <w:qFormat/>
    <w:uiPriority w:val="99"/>
    <w:pPr>
      <w:ind w:firstLine="420" w:firstLineChars="200"/>
    </w:pPr>
    <w:rPr>
      <w:szCs w:val="24"/>
    </w:rPr>
  </w:style>
  <w:style w:type="paragraph" w:customStyle="1" w:styleId="261">
    <w:name w:val="Revision"/>
    <w:semiHidden/>
    <w:qFormat/>
    <w:uiPriority w:val="99"/>
    <w:rPr>
      <w:rFonts w:ascii="Times New Roman" w:hAnsi="Times New Roman" w:eastAsia="宋体" w:cs="Times New Roman"/>
      <w:kern w:val="2"/>
      <w:sz w:val="21"/>
      <w:szCs w:val="22"/>
      <w:lang w:val="en-US" w:eastAsia="zh-CN" w:bidi="ar-SA"/>
    </w:rPr>
  </w:style>
  <w:style w:type="paragraph" w:styleId="26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264">
    <w:name w:val="内容标题2"/>
    <w:basedOn w:val="265"/>
    <w:qFormat/>
    <w:uiPriority w:val="0"/>
    <w:pPr>
      <w:outlineLvl w:val="1"/>
    </w:pPr>
    <w:rPr>
      <w:rFonts w:cs="宋体"/>
      <w:szCs w:val="20"/>
    </w:rPr>
  </w:style>
  <w:style w:type="paragraph" w:customStyle="1" w:styleId="265">
    <w:name w:val="正文内容"/>
    <w:basedOn w:val="1"/>
    <w:qFormat/>
    <w:uiPriority w:val="0"/>
    <w:pPr>
      <w:spacing w:line="240" w:lineRule="atLeast"/>
      <w:ind w:firstLine="200" w:firstLineChars="200"/>
      <w:jc w:val="left"/>
    </w:pPr>
    <w:rPr>
      <w:rFonts w:ascii="Arial" w:hAnsi="Arial"/>
      <w:kern w:val="0"/>
      <w:sz w:val="24"/>
      <w:szCs w:val="18"/>
    </w:rPr>
  </w:style>
  <w:style w:type="paragraph" w:customStyle="1" w:styleId="266">
    <w:name w:val="默认段落字体 Para Char Char Char Char Char Char Char Char Char1 Char Char Char Char"/>
    <w:basedOn w:val="1"/>
    <w:qFormat/>
    <w:uiPriority w:val="0"/>
    <w:rPr>
      <w:rFonts w:ascii="Tahoma" w:hAnsi="Tahoma"/>
      <w:sz w:val="24"/>
      <w:szCs w:val="20"/>
    </w:rPr>
  </w:style>
  <w:style w:type="paragraph" w:customStyle="1" w:styleId="267">
    <w:name w:val="TFC--标题 2"/>
    <w:basedOn w:val="4"/>
    <w:next w:val="1"/>
    <w:qFormat/>
    <w:uiPriority w:val="0"/>
    <w:pPr>
      <w:keepNext/>
      <w:keepLines/>
      <w:autoSpaceDE/>
      <w:autoSpaceDN/>
      <w:adjustRightInd/>
      <w:spacing w:before="260" w:after="260" w:line="412" w:lineRule="auto"/>
      <w:ind w:left="120"/>
      <w:jc w:val="center"/>
    </w:pPr>
    <w:rPr>
      <w:rFonts w:ascii="Arial" w:hAnsi="Arial" w:eastAsia="黑体"/>
      <w:b/>
      <w:iCs/>
      <w:szCs w:val="32"/>
    </w:rPr>
  </w:style>
  <w:style w:type="paragraph" w:customStyle="1" w:styleId="268">
    <w:name w:val="font11"/>
    <w:basedOn w:val="1"/>
    <w:qFormat/>
    <w:uiPriority w:val="0"/>
    <w:pPr>
      <w:widowControl/>
      <w:spacing w:before="100" w:beforeAutospacing="1" w:after="100" w:afterAutospacing="1"/>
      <w:jc w:val="left"/>
    </w:pPr>
    <w:rPr>
      <w:rFonts w:ascii="微软雅黑 Light" w:hAnsi="宋体" w:eastAsia="微软雅黑 Light" w:cs="宋体"/>
      <w:color w:val="000000"/>
      <w:kern w:val="0"/>
      <w:sz w:val="36"/>
      <w:szCs w:val="36"/>
    </w:rPr>
  </w:style>
  <w:style w:type="paragraph" w:customStyle="1" w:styleId="269">
    <w:name w:val="Char Char Char Char Char Char Char Char Char"/>
    <w:basedOn w:val="1"/>
    <w:qFormat/>
    <w:uiPriority w:val="0"/>
  </w:style>
  <w:style w:type="paragraph" w:customStyle="1" w:styleId="270">
    <w:name w:val="四级条标题"/>
    <w:basedOn w:val="271"/>
    <w:next w:val="274"/>
    <w:qFormat/>
    <w:uiPriority w:val="0"/>
    <w:pPr>
      <w:tabs>
        <w:tab w:val="left" w:pos="360"/>
        <w:tab w:val="left" w:pos="2100"/>
        <w:tab w:val="left" w:pos="2905"/>
      </w:tabs>
      <w:ind w:left="2905" w:hanging="720"/>
      <w:outlineLvl w:val="5"/>
    </w:pPr>
  </w:style>
  <w:style w:type="paragraph" w:customStyle="1" w:styleId="271">
    <w:name w:val="三级条标题"/>
    <w:basedOn w:val="272"/>
    <w:next w:val="274"/>
    <w:qFormat/>
    <w:uiPriority w:val="0"/>
    <w:pPr>
      <w:tabs>
        <w:tab w:val="left" w:pos="360"/>
        <w:tab w:val="left" w:pos="2100"/>
      </w:tabs>
      <w:ind w:left="2100" w:hanging="420"/>
      <w:outlineLvl w:val="4"/>
    </w:pPr>
  </w:style>
  <w:style w:type="paragraph" w:customStyle="1" w:styleId="272">
    <w:name w:val="二级条标题"/>
    <w:basedOn w:val="273"/>
    <w:next w:val="274"/>
    <w:qFormat/>
    <w:uiPriority w:val="0"/>
    <w:pPr>
      <w:tabs>
        <w:tab w:val="left" w:pos="360"/>
      </w:tabs>
      <w:outlineLvl w:val="3"/>
    </w:pPr>
  </w:style>
  <w:style w:type="paragraph" w:customStyle="1" w:styleId="273">
    <w:name w:val="一级条标题"/>
    <w:next w:val="274"/>
    <w:qFormat/>
    <w:uiPriority w:val="0"/>
    <w:pPr>
      <w:tabs>
        <w:tab w:val="left" w:pos="360"/>
      </w:tabs>
      <w:outlineLvl w:val="2"/>
    </w:pPr>
    <w:rPr>
      <w:rFonts w:ascii="Times New Roman" w:hAnsi="Times New Roman" w:eastAsia="黑体" w:cs="Times New Roman"/>
      <w:sz w:val="21"/>
      <w:lang w:val="en-US" w:eastAsia="zh-CN" w:bidi="ar-SA"/>
    </w:rPr>
  </w:style>
  <w:style w:type="paragraph" w:customStyle="1" w:styleId="27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5">
    <w:name w:val="列表内容"/>
    <w:basedOn w:val="1"/>
    <w:next w:val="1"/>
    <w:qFormat/>
    <w:uiPriority w:val="0"/>
    <w:pPr>
      <w:widowControl/>
      <w:tabs>
        <w:tab w:val="left" w:pos="840"/>
      </w:tabs>
      <w:ind w:left="840" w:hanging="420"/>
      <w:jc w:val="left"/>
    </w:pPr>
    <w:rPr>
      <w:kern w:val="0"/>
      <w:sz w:val="18"/>
      <w:szCs w:val="24"/>
    </w:rPr>
  </w:style>
  <w:style w:type="paragraph" w:customStyle="1" w:styleId="276">
    <w:name w:val="P1"/>
    <w:qFormat/>
    <w:uiPriority w:val="0"/>
    <w:pPr>
      <w:widowControl w:val="0"/>
      <w:adjustRightInd w:val="0"/>
      <w:spacing w:after="240"/>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7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4"/>
      <w:szCs w:val="24"/>
    </w:rPr>
  </w:style>
  <w:style w:type="paragraph" w:customStyle="1" w:styleId="27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28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28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36"/>
      <w:szCs w:val="36"/>
    </w:rPr>
  </w:style>
  <w:style w:type="paragraph" w:customStyle="1" w:styleId="282">
    <w:name w:val="font8"/>
    <w:basedOn w:val="1"/>
    <w:qFormat/>
    <w:uiPriority w:val="0"/>
    <w:pPr>
      <w:widowControl/>
      <w:spacing w:before="100" w:beforeAutospacing="1" w:after="100" w:afterAutospacing="1"/>
      <w:jc w:val="left"/>
    </w:pPr>
    <w:rPr>
      <w:rFonts w:ascii="宋体" w:hAnsi="宋体" w:cs="宋体"/>
      <w:color w:val="000000"/>
      <w:kern w:val="0"/>
      <w:sz w:val="36"/>
      <w:szCs w:val="36"/>
    </w:rPr>
  </w:style>
  <w:style w:type="paragraph" w:customStyle="1" w:styleId="283">
    <w:name w:val="编写建议"/>
    <w:basedOn w:val="1"/>
    <w:qFormat/>
    <w:uiPriority w:val="0"/>
    <w:pPr>
      <w:autoSpaceDE w:val="0"/>
      <w:autoSpaceDN w:val="0"/>
      <w:adjustRightInd w:val="0"/>
      <w:spacing w:line="360" w:lineRule="auto"/>
      <w:ind w:firstLine="420"/>
      <w:jc w:val="left"/>
    </w:pPr>
    <w:rPr>
      <w:rFonts w:ascii="Arial" w:hAnsi="Arial" w:cs="Arial"/>
      <w:i/>
      <w:color w:val="0000FF"/>
      <w:kern w:val="0"/>
      <w:szCs w:val="21"/>
    </w:rPr>
  </w:style>
  <w:style w:type="paragraph" w:customStyle="1" w:styleId="284">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
    <w:name w:val="3"/>
    <w:basedOn w:val="1"/>
    <w:qFormat/>
    <w:uiPriority w:val="0"/>
    <w:rPr>
      <w:rFonts w:ascii="Tahoma" w:hAnsi="Tahoma"/>
      <w:sz w:val="24"/>
      <w:szCs w:val="20"/>
    </w:rPr>
  </w:style>
  <w:style w:type="paragraph" w:customStyle="1" w:styleId="286">
    <w:name w:val="xl4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287">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28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90">
    <w:name w:val="Char Char Char"/>
    <w:basedOn w:val="1"/>
    <w:qFormat/>
    <w:uiPriority w:val="0"/>
    <w:rPr>
      <w:szCs w:val="24"/>
    </w:rPr>
  </w:style>
  <w:style w:type="paragraph" w:customStyle="1" w:styleId="29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92">
    <w:name w:val="五级条标题"/>
    <w:basedOn w:val="270"/>
    <w:next w:val="274"/>
    <w:qFormat/>
    <w:uiPriority w:val="0"/>
    <w:pPr>
      <w:tabs>
        <w:tab w:val="left" w:pos="2940"/>
        <w:tab w:val="clear" w:pos="2905"/>
      </w:tabs>
      <w:ind w:left="2940" w:hanging="420"/>
      <w:outlineLvl w:val="6"/>
    </w:pPr>
  </w:style>
  <w:style w:type="paragraph" w:customStyle="1" w:styleId="293">
    <w:name w:val="标书_正文"/>
    <w:basedOn w:val="1"/>
    <w:qFormat/>
    <w:uiPriority w:val="0"/>
    <w:pPr>
      <w:spacing w:line="360" w:lineRule="auto"/>
    </w:pPr>
    <w:rPr>
      <w:rFonts w:ascii="宋体"/>
      <w:b/>
      <w:kern w:val="0"/>
      <w:sz w:val="32"/>
      <w:szCs w:val="32"/>
    </w:rPr>
  </w:style>
  <w:style w:type="paragraph" w:customStyle="1" w:styleId="294">
    <w:name w:val="正文－恩普"/>
    <w:basedOn w:val="2"/>
    <w:qFormat/>
    <w:uiPriority w:val="0"/>
    <w:pPr>
      <w:widowControl/>
      <w:spacing w:afterLines="50" w:line="360" w:lineRule="auto"/>
      <w:ind w:firstLine="480" w:firstLineChars="200"/>
      <w:jc w:val="left"/>
    </w:pPr>
    <w:rPr>
      <w:kern w:val="0"/>
      <w:sz w:val="24"/>
    </w:rPr>
  </w:style>
  <w:style w:type="paragraph" w:customStyle="1" w:styleId="295">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296">
    <w:name w:val="标题1正文 Char Char Char"/>
    <w:basedOn w:val="1"/>
    <w:qFormat/>
    <w:uiPriority w:val="0"/>
    <w:pPr>
      <w:ind w:firstLine="200" w:firstLineChars="200"/>
      <w:jc w:val="left"/>
    </w:pPr>
    <w:rPr>
      <w:sz w:val="18"/>
      <w:szCs w:val="24"/>
    </w:rPr>
  </w:style>
  <w:style w:type="paragraph" w:customStyle="1" w:styleId="29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8">
    <w:name w:val="TOC Heading"/>
    <w:basedOn w:val="3"/>
    <w:next w:val="1"/>
    <w:qFormat/>
    <w:uiPriority w:val="0"/>
    <w:pPr>
      <w:keepNext/>
      <w:keepLines/>
      <w:autoSpaceDE/>
      <w:autoSpaceDN/>
      <w:adjustRightInd/>
      <w:spacing w:before="340" w:after="330" w:line="578" w:lineRule="auto"/>
      <w:jc w:val="both"/>
      <w:outlineLvl w:val="9"/>
    </w:pPr>
    <w:rPr>
      <w:rFonts w:ascii="Calibri" w:hAnsi="Calibri"/>
      <w:b/>
      <w:bCs/>
      <w:kern w:val="44"/>
      <w:sz w:val="44"/>
      <w:szCs w:val="44"/>
    </w:rPr>
  </w:style>
  <w:style w:type="paragraph" w:customStyle="1" w:styleId="299">
    <w:name w:val="小四文字"/>
    <w:basedOn w:val="1"/>
    <w:qFormat/>
    <w:uiPriority w:val="0"/>
    <w:pPr>
      <w:adjustRightInd w:val="0"/>
      <w:snapToGrid w:val="0"/>
      <w:spacing w:line="240" w:lineRule="atLeast"/>
    </w:pPr>
    <w:rPr>
      <w:sz w:val="24"/>
      <w:szCs w:val="20"/>
    </w:rPr>
  </w:style>
  <w:style w:type="paragraph" w:customStyle="1" w:styleId="300">
    <w:name w:val="xl8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36"/>
      <w:szCs w:val="36"/>
    </w:rPr>
  </w:style>
  <w:style w:type="paragraph" w:customStyle="1" w:styleId="301">
    <w:name w:val="TFC--标题 3"/>
    <w:basedOn w:val="5"/>
    <w:next w:val="1"/>
    <w:qFormat/>
    <w:uiPriority w:val="0"/>
    <w:pPr>
      <w:tabs>
        <w:tab w:val="left" w:pos="907"/>
        <w:tab w:val="left" w:pos="960"/>
      </w:tabs>
      <w:spacing w:line="412" w:lineRule="auto"/>
      <w:ind w:left="120"/>
      <w:jc w:val="left"/>
    </w:pPr>
    <w:rPr>
      <w:rFonts w:ascii="Arial" w:hAnsi="Arial" w:eastAsia="黑体"/>
      <w:bCs w:val="0"/>
      <w:kern w:val="0"/>
      <w:sz w:val="30"/>
      <w:szCs w:val="30"/>
    </w:rPr>
  </w:style>
  <w:style w:type="paragraph" w:customStyle="1" w:styleId="302">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36"/>
      <w:szCs w:val="36"/>
    </w:rPr>
  </w:style>
  <w:style w:type="paragraph" w:customStyle="1" w:styleId="303">
    <w:name w:val="列表段落1"/>
    <w:basedOn w:val="1"/>
    <w:qFormat/>
    <w:uiPriority w:val="0"/>
    <w:pPr>
      <w:ind w:firstLine="420" w:firstLineChars="200"/>
    </w:pPr>
    <w:rPr>
      <w:szCs w:val="21"/>
    </w:rPr>
  </w:style>
  <w:style w:type="paragraph" w:customStyle="1" w:styleId="304">
    <w:name w:val="表格中序号"/>
    <w:basedOn w:val="1"/>
    <w:qFormat/>
    <w:uiPriority w:val="0"/>
    <w:pPr>
      <w:spacing w:line="288" w:lineRule="auto"/>
      <w:jc w:val="center"/>
    </w:pPr>
    <w:rPr>
      <w:rFonts w:ascii="新宋体" w:eastAsia="新宋体"/>
      <w:sz w:val="24"/>
      <w:szCs w:val="24"/>
    </w:rPr>
  </w:style>
  <w:style w:type="paragraph" w:customStyle="1" w:styleId="305">
    <w:name w:val="列项——（一级）"/>
    <w:qFormat/>
    <w:uiPriority w:val="0"/>
    <w:pPr>
      <w:widowControl w:val="0"/>
      <w:tabs>
        <w:tab w:val="left" w:pos="854"/>
        <w:tab w:val="left" w:pos="1260"/>
      </w:tabs>
      <w:ind w:left="1260" w:leftChars="200" w:hanging="420" w:hangingChars="200"/>
      <w:jc w:val="both"/>
    </w:pPr>
    <w:rPr>
      <w:rFonts w:ascii="宋体" w:hAnsi="Times New Roman" w:eastAsia="宋体" w:cs="Times New Roman"/>
      <w:sz w:val="21"/>
      <w:lang w:val="en-US" w:eastAsia="zh-CN" w:bidi="ar-SA"/>
    </w:rPr>
  </w:style>
  <w:style w:type="paragraph" w:customStyle="1" w:styleId="30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36"/>
      <w:szCs w:val="36"/>
    </w:rPr>
  </w:style>
  <w:style w:type="paragraph" w:customStyle="1" w:styleId="307">
    <w:name w:val="Char"/>
    <w:basedOn w:val="1"/>
    <w:qFormat/>
    <w:uiPriority w:val="0"/>
    <w:pPr>
      <w:widowControl/>
      <w:spacing w:after="160" w:line="240" w:lineRule="exact"/>
      <w:jc w:val="left"/>
    </w:pPr>
    <w:rPr>
      <w:rFonts w:ascii="(使用中文字体)" w:hAnsi="(使用中文字体)" w:eastAsia="(使用中文字体)" w:cs="(使用中文字体)"/>
      <w:szCs w:val="20"/>
    </w:rPr>
  </w:style>
  <w:style w:type="paragraph" w:customStyle="1" w:styleId="3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0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10">
    <w:name w:val="表格文档"/>
    <w:qFormat/>
    <w:uiPriority w:val="0"/>
    <w:pPr>
      <w:spacing w:line="480" w:lineRule="auto"/>
    </w:pPr>
    <w:rPr>
      <w:rFonts w:ascii="宋体" w:hAnsi="宋体" w:eastAsia="宋体" w:cs="Times New Roman"/>
      <w:kern w:val="2"/>
      <w:sz w:val="21"/>
      <w:szCs w:val="21"/>
      <w:lang w:val="en-US" w:eastAsia="zh-CN" w:bidi="ar-SA"/>
    </w:rPr>
  </w:style>
  <w:style w:type="paragraph" w:customStyle="1" w:styleId="311">
    <w:name w:val="xl79"/>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36"/>
      <w:szCs w:val="36"/>
    </w:rPr>
  </w:style>
  <w:style w:type="paragraph" w:customStyle="1" w:styleId="312">
    <w:name w:val="小标题"/>
    <w:basedOn w:val="17"/>
    <w:qFormat/>
    <w:uiPriority w:val="0"/>
    <w:pPr>
      <w:tabs>
        <w:tab w:val="left" w:pos="840"/>
      </w:tabs>
      <w:spacing w:before="60" w:after="60" w:line="360" w:lineRule="auto"/>
      <w:ind w:left="840" w:hanging="420"/>
    </w:pPr>
    <w:rPr>
      <w:rFonts w:eastAsia="黑体"/>
      <w:sz w:val="24"/>
      <w:szCs w:val="20"/>
    </w:rPr>
  </w:style>
  <w:style w:type="paragraph" w:customStyle="1" w:styleId="313">
    <w:name w:val="正文样式"/>
    <w:basedOn w:val="1"/>
    <w:qFormat/>
    <w:uiPriority w:val="0"/>
    <w:pPr>
      <w:spacing w:line="360" w:lineRule="auto"/>
      <w:ind w:firstLine="200" w:firstLineChars="200"/>
    </w:pPr>
    <w:rPr>
      <w:rFonts w:ascii="宋体"/>
      <w:sz w:val="24"/>
      <w:szCs w:val="24"/>
    </w:rPr>
  </w:style>
  <w:style w:type="paragraph" w:customStyle="1" w:styleId="314">
    <w:name w:val="纯文本1"/>
    <w:basedOn w:val="1"/>
    <w:qFormat/>
    <w:uiPriority w:val="0"/>
    <w:rPr>
      <w:rFonts w:ascii="宋体" w:hAnsi="Courier New" w:cs="Arial"/>
      <w:snapToGrid w:val="0"/>
      <w:szCs w:val="21"/>
    </w:rPr>
  </w:style>
  <w:style w:type="paragraph" w:customStyle="1" w:styleId="315">
    <w:name w:val="p0"/>
    <w:basedOn w:val="1"/>
    <w:qFormat/>
    <w:uiPriority w:val="0"/>
    <w:pPr>
      <w:widowControl/>
    </w:pPr>
    <w:rPr>
      <w:kern w:val="0"/>
      <w:szCs w:val="21"/>
    </w:rPr>
  </w:style>
  <w:style w:type="paragraph" w:customStyle="1" w:styleId="316">
    <w:name w:val="def正文"/>
    <w:basedOn w:val="17"/>
    <w:qFormat/>
    <w:uiPriority w:val="0"/>
    <w:pPr>
      <w:widowControl/>
      <w:spacing w:after="0" w:line="360" w:lineRule="auto"/>
      <w:ind w:firstLine="510"/>
      <w:jc w:val="left"/>
    </w:pPr>
    <w:rPr>
      <w:kern w:val="0"/>
      <w:sz w:val="24"/>
      <w:szCs w:val="24"/>
    </w:rPr>
  </w:style>
  <w:style w:type="paragraph" w:customStyle="1" w:styleId="317">
    <w:name w:val="xl8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36"/>
      <w:szCs w:val="36"/>
    </w:rPr>
  </w:style>
  <w:style w:type="paragraph" w:customStyle="1" w:styleId="318">
    <w:name w:val="_Style 148"/>
    <w:basedOn w:val="1"/>
    <w:next w:val="237"/>
    <w:qFormat/>
    <w:uiPriority w:val="0"/>
    <w:pPr>
      <w:ind w:firstLine="420" w:firstLineChars="200"/>
    </w:pPr>
    <w:rPr>
      <w:rFonts w:ascii="Calibri" w:hAnsi="Calibri"/>
    </w:rPr>
  </w:style>
  <w:style w:type="paragraph" w:customStyle="1" w:styleId="319">
    <w:name w:val="正文2"/>
    <w:basedOn w:val="1"/>
    <w:qFormat/>
    <w:uiPriority w:val="0"/>
    <w:pPr>
      <w:spacing w:before="156" w:line="360" w:lineRule="auto"/>
      <w:ind w:firstLine="510" w:firstLineChars="200"/>
    </w:pPr>
    <w:rPr>
      <w:sz w:val="24"/>
      <w:szCs w:val="20"/>
    </w:rPr>
  </w:style>
  <w:style w:type="paragraph" w:customStyle="1" w:styleId="320">
    <w:name w:val="TFC--标题 6（有编号）"/>
    <w:basedOn w:val="1"/>
    <w:qFormat/>
    <w:uiPriority w:val="0"/>
    <w:pPr>
      <w:keepNext/>
      <w:keepLines/>
      <w:tabs>
        <w:tab w:val="left" w:pos="907"/>
      </w:tabs>
      <w:spacing w:before="240" w:after="64" w:line="316" w:lineRule="auto"/>
      <w:ind w:left="120"/>
      <w:jc w:val="left"/>
      <w:outlineLvl w:val="5"/>
    </w:pPr>
    <w:rPr>
      <w:rFonts w:ascii="Arial" w:hAnsi="Arial" w:eastAsia="黑体"/>
      <w:b/>
      <w:kern w:val="0"/>
      <w:szCs w:val="24"/>
    </w:rPr>
  </w:style>
  <w:style w:type="paragraph" w:customStyle="1" w:styleId="321">
    <w:name w:val="正文段"/>
    <w:basedOn w:val="1"/>
    <w:qFormat/>
    <w:uiPriority w:val="0"/>
    <w:pPr>
      <w:widowControl/>
      <w:snapToGrid w:val="0"/>
      <w:spacing w:after="156" w:afterLines="50"/>
      <w:ind w:firstLine="200" w:firstLineChars="200"/>
    </w:pPr>
    <w:rPr>
      <w:kern w:val="0"/>
      <w:sz w:val="24"/>
      <w:szCs w:val="24"/>
    </w:rPr>
  </w:style>
  <w:style w:type="paragraph" w:customStyle="1" w:styleId="322">
    <w:name w:val="Char Char Char Char1 Char Char Char Char"/>
    <w:basedOn w:val="1"/>
    <w:qFormat/>
    <w:uiPriority w:val="0"/>
    <w:pPr>
      <w:widowControl/>
      <w:spacing w:after="160" w:line="240" w:lineRule="exact"/>
      <w:jc w:val="left"/>
    </w:pPr>
    <w:rPr>
      <w:rFonts w:ascii="(使用中文字体)" w:hAnsi="(使用中文字体)" w:eastAsia="(使用中文字体)" w:cs="(使用中文字体)"/>
      <w:kern w:val="0"/>
      <w:sz w:val="20"/>
      <w:szCs w:val="20"/>
    </w:rPr>
  </w:style>
  <w:style w:type="paragraph" w:customStyle="1" w:styleId="323">
    <w:name w:val="Char Char Char Char Char Char Char1"/>
    <w:basedOn w:val="1"/>
    <w:qFormat/>
    <w:uiPriority w:val="0"/>
    <w:rPr>
      <w:rFonts w:ascii="Tahoma" w:hAnsi="Tahoma"/>
      <w:sz w:val="24"/>
      <w:szCs w:val="20"/>
    </w:rPr>
  </w:style>
  <w:style w:type="paragraph" w:customStyle="1" w:styleId="324">
    <w:name w:val="章标题"/>
    <w:next w:val="274"/>
    <w:qFormat/>
    <w:uiPriority w:val="0"/>
    <w:pPr>
      <w:tabs>
        <w:tab w:val="left" w:pos="1560"/>
      </w:tabs>
      <w:spacing w:beforeLines="50" w:afterLines="50"/>
      <w:ind w:left="1560" w:hanging="720"/>
      <w:jc w:val="both"/>
      <w:outlineLvl w:val="1"/>
    </w:pPr>
    <w:rPr>
      <w:rFonts w:ascii="黑体" w:hAnsi="Times New Roman" w:eastAsia="黑体" w:cs="Times New Roman"/>
      <w:sz w:val="21"/>
      <w:lang w:val="en-US" w:eastAsia="zh-CN" w:bidi="ar-SA"/>
    </w:rPr>
  </w:style>
  <w:style w:type="paragraph" w:customStyle="1" w:styleId="325">
    <w:name w:val="样式 列表编号 + 段后: 0.5 行"/>
    <w:basedOn w:val="12"/>
    <w:qFormat/>
    <w:uiPriority w:val="0"/>
    <w:pPr>
      <w:tabs>
        <w:tab w:val="left" w:pos="720"/>
        <w:tab w:val="left" w:pos="900"/>
      </w:tabs>
      <w:spacing w:line="360" w:lineRule="auto"/>
      <w:ind w:left="720" w:firstLine="200" w:firstLineChars="200"/>
    </w:pPr>
    <w:rPr>
      <w:sz w:val="24"/>
      <w:szCs w:val="24"/>
    </w:rPr>
  </w:style>
  <w:style w:type="paragraph" w:customStyle="1" w:styleId="326">
    <w:name w:val="表格名称"/>
    <w:next w:val="1"/>
    <w:qFormat/>
    <w:uiPriority w:val="0"/>
    <w:pPr>
      <w:spacing w:line="320" w:lineRule="exact"/>
      <w:jc w:val="center"/>
    </w:pPr>
    <w:rPr>
      <w:rFonts w:ascii="楷体_GB2312" w:hAnsi="Times New Roman" w:eastAsia="楷体_GB2312" w:cs="Times New Roman"/>
      <w:sz w:val="21"/>
      <w:szCs w:val="21"/>
      <w:lang w:val="en-US" w:eastAsia="zh-CN" w:bidi="ar-SA"/>
    </w:rPr>
  </w:style>
  <w:style w:type="paragraph" w:customStyle="1" w:styleId="327">
    <w:name w:val="小四正文"/>
    <w:basedOn w:val="1"/>
    <w:qFormat/>
    <w:uiPriority w:val="0"/>
    <w:pPr>
      <w:spacing w:line="360" w:lineRule="auto"/>
      <w:ind w:firstLine="200" w:firstLineChars="200"/>
    </w:pPr>
    <w:rPr>
      <w:rFonts w:eastAsia="仿宋_GB2312" w:cs="宋体"/>
      <w:sz w:val="24"/>
      <w:szCs w:val="24"/>
    </w:rPr>
  </w:style>
  <w:style w:type="paragraph" w:customStyle="1" w:styleId="328">
    <w:name w:val="xl65"/>
    <w:basedOn w:val="1"/>
    <w:qFormat/>
    <w:uiPriority w:val="0"/>
    <w:pPr>
      <w:widowControl/>
      <w:shd w:val="clear" w:color="000000" w:fill="FFFFFF"/>
      <w:spacing w:before="100" w:beforeAutospacing="1" w:after="100" w:afterAutospacing="1"/>
      <w:jc w:val="center"/>
    </w:pPr>
    <w:rPr>
      <w:rFonts w:ascii="宋体" w:hAnsi="宋体" w:cs="宋体"/>
      <w:b/>
      <w:bCs/>
      <w:kern w:val="0"/>
      <w:sz w:val="36"/>
      <w:szCs w:val="36"/>
    </w:rPr>
  </w:style>
  <w:style w:type="paragraph" w:customStyle="1" w:styleId="329">
    <w:name w:val="xl7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36"/>
      <w:szCs w:val="36"/>
    </w:rPr>
  </w:style>
  <w:style w:type="paragraph" w:customStyle="1" w:styleId="330">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1">
    <w:name w:val="xl66"/>
    <w:basedOn w:val="1"/>
    <w:qFormat/>
    <w:uiPriority w:val="0"/>
    <w:pPr>
      <w:widowControl/>
      <w:shd w:val="clear" w:color="000000" w:fill="FFFFFF"/>
      <w:spacing w:before="100" w:beforeAutospacing="1" w:after="100" w:afterAutospacing="1"/>
      <w:jc w:val="left"/>
    </w:pPr>
    <w:rPr>
      <w:rFonts w:ascii="宋体" w:hAnsi="宋体" w:cs="宋体"/>
      <w:kern w:val="0"/>
      <w:sz w:val="36"/>
      <w:szCs w:val="36"/>
    </w:rPr>
  </w:style>
  <w:style w:type="paragraph" w:customStyle="1" w:styleId="332">
    <w:name w:val="xl7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kern w:val="0"/>
      <w:sz w:val="36"/>
      <w:szCs w:val="36"/>
    </w:rPr>
  </w:style>
  <w:style w:type="paragraph" w:customStyle="1" w:styleId="333">
    <w:name w:val="样式 首行缩进:  2 字符"/>
    <w:basedOn w:val="1"/>
    <w:qFormat/>
    <w:uiPriority w:val="0"/>
    <w:pPr>
      <w:widowControl/>
      <w:numPr>
        <w:ilvl w:val="0"/>
        <w:numId w:val="1"/>
      </w:numPr>
      <w:tabs>
        <w:tab w:val="left" w:pos="420"/>
      </w:tabs>
    </w:pPr>
    <w:rPr>
      <w:rFonts w:ascii="宋体" w:hAnsi="宋体" w:cs="宋体"/>
      <w:bCs/>
      <w:color w:val="000000"/>
      <w:kern w:val="0"/>
      <w:sz w:val="24"/>
      <w:szCs w:val="24"/>
    </w:rPr>
  </w:style>
  <w:style w:type="paragraph" w:customStyle="1" w:styleId="334">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335">
    <w:name w:val="font1"/>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336">
    <w:name w:val="正文表格内容（居中）"/>
    <w:basedOn w:val="1"/>
    <w:qFormat/>
    <w:uiPriority w:val="0"/>
    <w:pPr>
      <w:widowControl/>
      <w:jc w:val="center"/>
    </w:pPr>
    <w:rPr>
      <w:rFonts w:ascii="Arial" w:hAnsi="Arial" w:cs="Arial"/>
      <w:kern w:val="0"/>
      <w:szCs w:val="18"/>
    </w:rPr>
  </w:style>
  <w:style w:type="paragraph" w:customStyle="1" w:styleId="33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33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39">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340">
    <w:name w:val="xl4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341">
    <w:name w:val="普通(Web)1"/>
    <w:basedOn w:val="1"/>
    <w:next w:val="37"/>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342">
    <w:name w:val="lp1"/>
    <w:basedOn w:val="1"/>
    <w:next w:val="237"/>
    <w:qFormat/>
    <w:uiPriority w:val="0"/>
    <w:pPr>
      <w:ind w:firstLine="420" w:firstLineChars="200"/>
    </w:pPr>
  </w:style>
  <w:style w:type="paragraph" w:customStyle="1" w:styleId="343">
    <w:name w:val="TFC--标题 1"/>
    <w:basedOn w:val="3"/>
    <w:qFormat/>
    <w:uiPriority w:val="0"/>
    <w:pPr>
      <w:keepNext/>
      <w:keepLines/>
      <w:numPr>
        <w:ilvl w:val="0"/>
        <w:numId w:val="2"/>
      </w:numPr>
      <w:tabs>
        <w:tab w:val="left" w:pos="907"/>
      </w:tabs>
      <w:autoSpaceDE/>
      <w:autoSpaceDN/>
      <w:adjustRightInd/>
      <w:spacing w:before="340" w:beforeLines="400" w:after="160" w:line="480" w:lineRule="auto"/>
    </w:pPr>
    <w:rPr>
      <w:rFonts w:ascii="Arial" w:hAnsi="Arial" w:eastAsia="黑体"/>
      <w:b/>
      <w:bCs/>
      <w:kern w:val="44"/>
      <w:sz w:val="44"/>
      <w:szCs w:val="44"/>
    </w:rPr>
  </w:style>
  <w:style w:type="paragraph" w:customStyle="1" w:styleId="344">
    <w:name w:val="样式1"/>
    <w:basedOn w:val="1"/>
    <w:qFormat/>
    <w:uiPriority w:val="0"/>
    <w:pPr>
      <w:spacing w:line="360" w:lineRule="exact"/>
      <w:ind w:firstLine="200" w:firstLineChars="200"/>
    </w:pPr>
    <w:rPr>
      <w:rFonts w:ascii="Arial" w:hAnsi="Arial"/>
      <w:szCs w:val="24"/>
    </w:rPr>
  </w:style>
  <w:style w:type="paragraph" w:customStyle="1" w:styleId="345">
    <w:name w:val="Char Char Char Char"/>
    <w:basedOn w:val="1"/>
    <w:qFormat/>
    <w:uiPriority w:val="0"/>
    <w:rPr>
      <w:rFonts w:ascii="Tahoma" w:hAnsi="Tahoma"/>
      <w:sz w:val="24"/>
      <w:szCs w:val="20"/>
    </w:rPr>
  </w:style>
  <w:style w:type="paragraph" w:customStyle="1" w:styleId="346">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347">
    <w:name w:val="正文-带编号1)"/>
    <w:basedOn w:val="1"/>
    <w:qFormat/>
    <w:uiPriority w:val="0"/>
    <w:pPr>
      <w:spacing w:line="400" w:lineRule="exact"/>
      <w:ind w:left="420" w:hanging="420"/>
    </w:pPr>
    <w:rPr>
      <w:rFonts w:ascii="Arial" w:hAnsi="Arial"/>
      <w:szCs w:val="24"/>
    </w:rPr>
  </w:style>
  <w:style w:type="paragraph" w:customStyle="1" w:styleId="348">
    <w:name w:val="_Style 158"/>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49">
    <w:name w:val="xl4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35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51">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352">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353">
    <w:name w:val="Char Char Char Char Char Char Char Char Char Char"/>
    <w:basedOn w:val="1"/>
    <w:qFormat/>
    <w:uiPriority w:val="0"/>
    <w:rPr>
      <w:rFonts w:ascii="Tahoma" w:hAnsi="Tahoma"/>
      <w:sz w:val="24"/>
      <w:szCs w:val="20"/>
    </w:rPr>
  </w:style>
  <w:style w:type="paragraph" w:customStyle="1" w:styleId="35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Char Char Char Char1"/>
    <w:basedOn w:val="1"/>
    <w:qFormat/>
    <w:uiPriority w:val="0"/>
    <w:pPr>
      <w:widowControl/>
      <w:spacing w:after="160" w:line="240" w:lineRule="exact"/>
      <w:jc w:val="left"/>
    </w:pPr>
    <w:rPr>
      <w:szCs w:val="20"/>
    </w:rPr>
  </w:style>
  <w:style w:type="paragraph" w:customStyle="1" w:styleId="356">
    <w:name w:val="首行缩进"/>
    <w:basedOn w:val="1"/>
    <w:qFormat/>
    <w:uiPriority w:val="0"/>
    <w:pPr>
      <w:widowControl/>
      <w:tabs>
        <w:tab w:val="left" w:pos="822"/>
      </w:tabs>
      <w:snapToGrid w:val="0"/>
      <w:spacing w:before="40" w:after="40" w:line="300" w:lineRule="atLeast"/>
      <w:ind w:left="2940" w:hanging="420"/>
    </w:pPr>
    <w:rPr>
      <w:rFonts w:ascii="Arial" w:hAnsi="Arial"/>
      <w:kern w:val="0"/>
      <w:szCs w:val="20"/>
    </w:rPr>
  </w:style>
  <w:style w:type="paragraph" w:customStyle="1" w:styleId="357">
    <w:name w:val="t-12"/>
    <w:basedOn w:val="1"/>
    <w:qFormat/>
    <w:uiPriority w:val="0"/>
    <w:pPr>
      <w:widowControl/>
      <w:spacing w:before="100" w:beforeAutospacing="1" w:after="100" w:afterAutospacing="1" w:line="300" w:lineRule="atLeast"/>
      <w:jc w:val="left"/>
    </w:pPr>
    <w:rPr>
      <w:rFonts w:ascii="Georgia" w:hAnsi="Georgia" w:cs="宋体"/>
      <w:kern w:val="0"/>
      <w:sz w:val="18"/>
      <w:szCs w:val="18"/>
    </w:rPr>
  </w:style>
  <w:style w:type="paragraph" w:customStyle="1" w:styleId="358">
    <w:name w:val="内文正文"/>
    <w:basedOn w:val="1"/>
    <w:qFormat/>
    <w:uiPriority w:val="0"/>
    <w:pPr>
      <w:adjustRightInd w:val="0"/>
      <w:snapToGrid w:val="0"/>
      <w:spacing w:line="400" w:lineRule="atLeast"/>
      <w:ind w:firstLine="200" w:firstLineChars="200"/>
    </w:pPr>
    <w:rPr>
      <w:rFonts w:ascii="宋体"/>
      <w:szCs w:val="24"/>
    </w:rPr>
  </w:style>
  <w:style w:type="paragraph" w:customStyle="1" w:styleId="359">
    <w:name w:val="Char1"/>
    <w:basedOn w:val="14"/>
    <w:qFormat/>
    <w:uiPriority w:val="0"/>
    <w:pPr>
      <w:adjustRightInd w:val="0"/>
      <w:spacing w:line="436" w:lineRule="exact"/>
      <w:ind w:left="357"/>
      <w:jc w:val="left"/>
      <w:outlineLvl w:val="3"/>
    </w:pPr>
    <w:rPr>
      <w:rFonts w:ascii="(使用中文字体)" w:hAnsi="(使用中文字体)"/>
      <w:b/>
      <w:sz w:val="24"/>
    </w:rPr>
  </w:style>
  <w:style w:type="paragraph" w:customStyle="1" w:styleId="360">
    <w:name w:val="标题6"/>
    <w:basedOn w:val="1"/>
    <w:next w:val="3"/>
    <w:qFormat/>
    <w:uiPriority w:val="0"/>
    <w:pPr>
      <w:widowControl/>
      <w:snapToGrid w:val="0"/>
      <w:spacing w:beforeLines="50" w:afterLines="50" w:line="520" w:lineRule="atLeast"/>
      <w:ind w:firstLine="200" w:firstLineChars="200"/>
    </w:pPr>
    <w:rPr>
      <w:rFonts w:cs="Arial"/>
      <w:b/>
      <w:sz w:val="24"/>
      <w:szCs w:val="24"/>
    </w:rPr>
  </w:style>
  <w:style w:type="paragraph" w:customStyle="1" w:styleId="361">
    <w:name w:val="Char Char1 Char Char Char Char Char Char Char Char"/>
    <w:basedOn w:val="1"/>
    <w:qFormat/>
    <w:uiPriority w:val="0"/>
    <w:pPr>
      <w:widowControl/>
      <w:spacing w:after="160" w:line="240" w:lineRule="exact"/>
      <w:jc w:val="left"/>
    </w:pPr>
    <w:rPr>
      <w:szCs w:val="24"/>
    </w:rPr>
  </w:style>
  <w:style w:type="paragraph" w:customStyle="1" w:styleId="362">
    <w:name w:val="xl8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kern w:val="0"/>
      <w:sz w:val="36"/>
      <w:szCs w:val="36"/>
    </w:rPr>
  </w:style>
  <w:style w:type="paragraph" w:customStyle="1" w:styleId="363">
    <w:name w:val="TFC--标题 4"/>
    <w:basedOn w:val="6"/>
    <w:next w:val="1"/>
    <w:qFormat/>
    <w:uiPriority w:val="0"/>
    <w:pPr>
      <w:widowControl/>
      <w:tabs>
        <w:tab w:val="left" w:pos="907"/>
      </w:tabs>
      <w:spacing w:after="156" w:line="374" w:lineRule="auto"/>
      <w:ind w:left="120"/>
      <w:jc w:val="left"/>
    </w:pPr>
    <w:rPr>
      <w:rFonts w:ascii="Arial" w:hAnsi="Arial" w:eastAsia="黑体"/>
      <w:bCs w:val="0"/>
      <w:kern w:val="0"/>
    </w:rPr>
  </w:style>
  <w:style w:type="paragraph" w:customStyle="1" w:styleId="364">
    <w:name w:val="font10"/>
    <w:basedOn w:val="1"/>
    <w:qFormat/>
    <w:uiPriority w:val="0"/>
    <w:pPr>
      <w:widowControl/>
      <w:spacing w:before="100" w:beforeAutospacing="1" w:after="100" w:afterAutospacing="1"/>
      <w:jc w:val="left"/>
    </w:pPr>
    <w:rPr>
      <w:rFonts w:ascii="Arial" w:hAnsi="Arial" w:cs="Arial"/>
      <w:color w:val="000000"/>
      <w:kern w:val="0"/>
      <w:sz w:val="36"/>
      <w:szCs w:val="36"/>
    </w:rPr>
  </w:style>
  <w:style w:type="paragraph" w:customStyle="1" w:styleId="36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36"/>
      <w:szCs w:val="36"/>
    </w:rPr>
  </w:style>
  <w:style w:type="paragraph" w:customStyle="1" w:styleId="366">
    <w:name w:val="红日标题"/>
    <w:basedOn w:val="38"/>
    <w:next w:val="1"/>
    <w:qFormat/>
    <w:uiPriority w:val="0"/>
    <w:pPr>
      <w:pageBreakBefore/>
      <w:widowControl/>
      <w:spacing w:line="276" w:lineRule="auto"/>
      <w:ind w:left="420" w:hanging="420"/>
      <w:jc w:val="left"/>
    </w:pPr>
    <w:rPr>
      <w:rFonts w:cs="Arial"/>
      <w:caps/>
      <w:color w:val="4F81BD"/>
      <w:spacing w:val="10"/>
      <w:kern w:val="28"/>
      <w:sz w:val="36"/>
      <w:szCs w:val="36"/>
      <w:lang w:eastAsia="en-US" w:bidi="en-US"/>
    </w:rPr>
  </w:style>
  <w:style w:type="paragraph" w:customStyle="1" w:styleId="367">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368">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
    <w:name w:val="Char Char Char Char Char Char"/>
    <w:basedOn w:val="1"/>
    <w:qFormat/>
    <w:uiPriority w:val="0"/>
    <w:pPr>
      <w:widowControl/>
      <w:spacing w:after="160" w:line="240" w:lineRule="exact"/>
      <w:jc w:val="left"/>
    </w:pPr>
    <w:rPr>
      <w:rFonts w:ascii="(使用中文字体)" w:hAnsi="(使用中文字体)"/>
      <w:kern w:val="0"/>
      <w:sz w:val="20"/>
      <w:szCs w:val="20"/>
      <w:lang w:eastAsia="en-US"/>
    </w:rPr>
  </w:style>
  <w:style w:type="paragraph" w:customStyle="1" w:styleId="370">
    <w:name w:val="GP正文(首行缩进)"/>
    <w:basedOn w:val="1"/>
    <w:qFormat/>
    <w:uiPriority w:val="0"/>
    <w:pPr>
      <w:spacing w:line="360" w:lineRule="auto"/>
      <w:ind w:firstLine="200" w:firstLineChars="200"/>
      <w:jc w:val="left"/>
    </w:pPr>
    <w:rPr>
      <w:sz w:val="24"/>
      <w:szCs w:val="21"/>
    </w:rPr>
  </w:style>
  <w:style w:type="paragraph" w:customStyle="1" w:styleId="371">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6"/>
      <w:szCs w:val="26"/>
    </w:rPr>
  </w:style>
  <w:style w:type="paragraph" w:customStyle="1" w:styleId="373">
    <w:name w:val="Char Char Char Char Char Char2"/>
    <w:basedOn w:val="1"/>
    <w:qFormat/>
    <w:uiPriority w:val="0"/>
    <w:pPr>
      <w:widowControl/>
      <w:spacing w:after="160" w:line="240" w:lineRule="exact"/>
      <w:jc w:val="left"/>
    </w:pPr>
    <w:rPr>
      <w:rFonts w:ascii="@(使用中文字体)" w:cs="黑体"/>
      <w:kern w:val="0"/>
      <w:sz w:val="20"/>
      <w:szCs w:val="20"/>
      <w:lang w:eastAsia="en-US"/>
    </w:rPr>
  </w:style>
  <w:style w:type="paragraph" w:customStyle="1" w:styleId="37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6"/>
      <w:szCs w:val="26"/>
    </w:rPr>
  </w:style>
  <w:style w:type="paragraph" w:customStyle="1" w:styleId="375">
    <w:name w:val="1"/>
    <w:basedOn w:val="18"/>
    <w:next w:val="41"/>
    <w:qFormat/>
    <w:uiPriority w:val="0"/>
    <w:pPr>
      <w:spacing w:after="120" w:line="240" w:lineRule="auto"/>
      <w:ind w:left="420" w:leftChars="200" w:firstLine="420" w:firstLineChars="200"/>
    </w:pPr>
    <w:rPr>
      <w:sz w:val="21"/>
      <w:szCs w:val="22"/>
    </w:rPr>
  </w:style>
  <w:style w:type="paragraph" w:customStyle="1" w:styleId="37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6"/>
      <w:szCs w:val="36"/>
    </w:rPr>
  </w:style>
  <w:style w:type="paragraph" w:customStyle="1" w:styleId="377">
    <w:name w:val="Char2"/>
    <w:basedOn w:val="14"/>
    <w:next w:val="1"/>
    <w:qFormat/>
    <w:uiPriority w:val="0"/>
    <w:rPr>
      <w:szCs w:val="20"/>
      <w:shd w:val="clear" w:color="auto" w:fill="auto"/>
    </w:rPr>
  </w:style>
  <w:style w:type="paragraph" w:customStyle="1" w:styleId="378">
    <w:name w:val="Table Paragraph"/>
    <w:basedOn w:val="1"/>
    <w:qFormat/>
    <w:uiPriority w:val="1"/>
    <w:pPr>
      <w:autoSpaceDE w:val="0"/>
      <w:autoSpaceDN w:val="0"/>
      <w:ind w:left="106"/>
      <w:jc w:val="left"/>
    </w:pPr>
    <w:rPr>
      <w:rFonts w:ascii="宋体" w:hAnsi="宋体" w:cs="宋体"/>
      <w:kern w:val="0"/>
      <w:sz w:val="22"/>
      <w:lang w:eastAsia="en-US" w:bidi="en-US"/>
    </w:rPr>
  </w:style>
  <w:style w:type="paragraph" w:customStyle="1" w:styleId="379">
    <w:name w:val="Char11"/>
    <w:basedOn w:val="1"/>
    <w:qFormat/>
    <w:uiPriority w:val="0"/>
    <w:rPr>
      <w:rFonts w:ascii="仿宋_GB2312" w:eastAsia="仿宋_GB2312"/>
      <w:b/>
      <w:sz w:val="32"/>
      <w:szCs w:val="32"/>
    </w:rPr>
  </w:style>
  <w:style w:type="paragraph" w:customStyle="1" w:styleId="380">
    <w:name w:val="TFC--标题 5"/>
    <w:basedOn w:val="1"/>
    <w:qFormat/>
    <w:uiPriority w:val="0"/>
    <w:pPr>
      <w:keepNext/>
      <w:keepLines/>
      <w:tabs>
        <w:tab w:val="left" w:pos="907"/>
      </w:tabs>
      <w:spacing w:before="280" w:after="156" w:line="376" w:lineRule="auto"/>
      <w:ind w:left="120"/>
      <w:jc w:val="left"/>
      <w:outlineLvl w:val="4"/>
    </w:pPr>
    <w:rPr>
      <w:rFonts w:ascii="Arial" w:hAnsi="Arial" w:eastAsia="黑体"/>
      <w:b/>
      <w:kern w:val="0"/>
      <w:sz w:val="24"/>
      <w:szCs w:val="28"/>
    </w:rPr>
  </w:style>
  <w:style w:type="paragraph" w:customStyle="1" w:styleId="381">
    <w:name w:val="xl69"/>
    <w:basedOn w:val="1"/>
    <w:qFormat/>
    <w:uiPriority w:val="0"/>
    <w:pPr>
      <w:widowControl/>
      <w:shd w:val="clear" w:color="000000" w:fill="FFFFFF"/>
      <w:spacing w:before="100" w:beforeAutospacing="1" w:after="100" w:afterAutospacing="1"/>
      <w:jc w:val="center"/>
    </w:pPr>
    <w:rPr>
      <w:rFonts w:ascii="宋体" w:hAnsi="宋体" w:cs="宋体"/>
      <w:kern w:val="0"/>
      <w:sz w:val="36"/>
      <w:szCs w:val="36"/>
    </w:rPr>
  </w:style>
  <w:style w:type="paragraph" w:customStyle="1" w:styleId="382">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3">
    <w:name w:val="2"/>
    <w:basedOn w:val="1"/>
    <w:next w:val="17"/>
    <w:qFormat/>
    <w:uiPriority w:val="0"/>
    <w:pPr>
      <w:adjustRightInd w:val="0"/>
      <w:spacing w:line="360" w:lineRule="auto"/>
      <w:textAlignment w:val="baseline"/>
    </w:pPr>
    <w:rPr>
      <w:rFonts w:ascii="宋体"/>
      <w:kern w:val="0"/>
      <w:sz w:val="30"/>
      <w:szCs w:val="20"/>
    </w:rPr>
  </w:style>
  <w:style w:type="paragraph" w:customStyle="1" w:styleId="384">
    <w:name w:val="xl8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36"/>
      <w:szCs w:val="36"/>
    </w:rPr>
  </w:style>
  <w:style w:type="paragraph" w:customStyle="1" w:styleId="385">
    <w:name w:val="此正文"/>
    <w:basedOn w:val="1"/>
    <w:qFormat/>
    <w:uiPriority w:val="0"/>
    <w:pPr>
      <w:spacing w:line="360" w:lineRule="auto"/>
      <w:ind w:firstLine="200" w:firstLineChars="200"/>
    </w:pPr>
    <w:rPr>
      <w:sz w:val="24"/>
      <w:szCs w:val="24"/>
    </w:rPr>
  </w:style>
  <w:style w:type="paragraph" w:customStyle="1" w:styleId="386">
    <w:name w:val="Char21"/>
    <w:basedOn w:val="14"/>
    <w:next w:val="1"/>
    <w:qFormat/>
    <w:uiPriority w:val="0"/>
    <w:rPr>
      <w:szCs w:val="20"/>
      <w:shd w:val="clear" w:color="auto" w:fill="auto"/>
    </w:rPr>
  </w:style>
  <w:style w:type="paragraph" w:customStyle="1" w:styleId="387">
    <w:name w:val="xl80"/>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kern w:val="0"/>
      <w:sz w:val="36"/>
      <w:szCs w:val="36"/>
    </w:rPr>
  </w:style>
  <w:style w:type="paragraph" w:customStyle="1" w:styleId="388">
    <w:name w:val="默认段落字体 Para Char Char Char Char Char Char Char"/>
    <w:basedOn w:val="14"/>
    <w:qFormat/>
    <w:uiPriority w:val="0"/>
    <w:pPr>
      <w:adjustRightInd w:val="0"/>
      <w:spacing w:line="436" w:lineRule="exact"/>
      <w:ind w:left="357"/>
      <w:jc w:val="left"/>
      <w:outlineLvl w:val="3"/>
    </w:pPr>
    <w:rPr>
      <w:rFonts w:ascii="Tahoma" w:hAnsi="Tahoma"/>
      <w:b/>
      <w:sz w:val="24"/>
      <w:shd w:val="clear" w:color="auto" w:fill="auto"/>
    </w:rPr>
  </w:style>
  <w:style w:type="paragraph" w:customStyle="1" w:styleId="389">
    <w:name w:val="样式 正文（首行缩进两字） + 首行缩进:  2 字符 段后: 0.5 行 行距: 1.5 倍行距"/>
    <w:basedOn w:val="2"/>
    <w:qFormat/>
    <w:uiPriority w:val="0"/>
    <w:pPr>
      <w:spacing w:line="360" w:lineRule="auto"/>
    </w:pPr>
    <w:rPr>
      <w:sz w:val="24"/>
      <w:szCs w:val="24"/>
    </w:rPr>
  </w:style>
  <w:style w:type="paragraph" w:customStyle="1" w:styleId="390">
    <w:name w:val="Char3"/>
    <w:basedOn w:val="1"/>
    <w:qFormat/>
    <w:uiPriority w:val="0"/>
    <w:pPr>
      <w:widowControl/>
      <w:spacing w:after="160" w:line="240" w:lineRule="exact"/>
      <w:jc w:val="left"/>
    </w:pPr>
    <w:rPr>
      <w:rFonts w:ascii="(使用中文字体)" w:hAnsi="(使用中文字体)" w:eastAsia="(使用中文字体)" w:cs="(使用中文字体)"/>
      <w:szCs w:val="20"/>
    </w:rPr>
  </w:style>
  <w:style w:type="paragraph" w:customStyle="1" w:styleId="39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36"/>
      <w:szCs w:val="36"/>
    </w:rPr>
  </w:style>
  <w:style w:type="paragraph" w:customStyle="1" w:styleId="392">
    <w:name w:val="大汉正文"/>
    <w:basedOn w:val="1"/>
    <w:qFormat/>
    <w:uiPriority w:val="0"/>
    <w:pPr>
      <w:spacing w:line="360" w:lineRule="auto"/>
      <w:ind w:firstLine="200" w:firstLineChars="200"/>
      <w:jc w:val="left"/>
    </w:pPr>
    <w:rPr>
      <w:rFonts w:ascii="宋体"/>
      <w:kern w:val="0"/>
      <w:sz w:val="24"/>
      <w:szCs w:val="24"/>
    </w:rPr>
  </w:style>
  <w:style w:type="paragraph" w:customStyle="1" w:styleId="393">
    <w:name w:val="纯文本11"/>
    <w:basedOn w:val="1"/>
    <w:qFormat/>
    <w:uiPriority w:val="0"/>
    <w:pPr>
      <w:widowControl/>
      <w:jc w:val="left"/>
    </w:pPr>
    <w:rPr>
      <w:rFonts w:hint="eastAsia" w:ascii="宋体" w:hAnsi="Courier New"/>
      <w:szCs w:val="20"/>
    </w:rPr>
  </w:style>
  <w:style w:type="paragraph" w:customStyle="1" w:styleId="394">
    <w:name w:val="Char Char1 Char"/>
    <w:basedOn w:val="1"/>
    <w:qFormat/>
    <w:uiPriority w:val="0"/>
    <w:rPr>
      <w:rFonts w:ascii="仿宋_GB2312" w:eastAsia="仿宋_GB2312"/>
      <w:b/>
      <w:sz w:val="32"/>
      <w:szCs w:val="32"/>
    </w:rPr>
  </w:style>
  <w:style w:type="paragraph" w:customStyle="1" w:styleId="395">
    <w:name w:val="xl31"/>
    <w:basedOn w:val="1"/>
    <w:qFormat/>
    <w:uiPriority w:val="0"/>
    <w:pPr>
      <w:widowControl/>
      <w:spacing w:before="100" w:beforeAutospacing="1" w:after="100" w:afterAutospacing="1"/>
      <w:jc w:val="center"/>
      <w:textAlignment w:val="center"/>
    </w:pPr>
    <w:rPr>
      <w:rFonts w:hint="eastAsia" w:ascii="黑体" w:hAnsi="宋体" w:eastAsia="黑体"/>
      <w:kern w:val="0"/>
      <w:sz w:val="40"/>
      <w:szCs w:val="40"/>
    </w:rPr>
  </w:style>
  <w:style w:type="paragraph" w:customStyle="1" w:styleId="396">
    <w:name w:val="Char3 Char Char Char"/>
    <w:basedOn w:val="1"/>
    <w:qFormat/>
    <w:uiPriority w:val="0"/>
    <w:pPr>
      <w:widowControl/>
      <w:spacing w:after="160" w:line="240" w:lineRule="exact"/>
      <w:jc w:val="left"/>
    </w:pPr>
    <w:rPr>
      <w:szCs w:val="20"/>
    </w:rPr>
  </w:style>
  <w:style w:type="paragraph" w:customStyle="1" w:styleId="397">
    <w:name w:val="样式 标题 2节标题 1.1 + 段前: 1 行 段后: 0.5 行"/>
    <w:basedOn w:val="4"/>
    <w:qFormat/>
    <w:uiPriority w:val="0"/>
    <w:pPr>
      <w:keepNext/>
      <w:keepLines/>
      <w:autoSpaceDE/>
      <w:autoSpaceDN/>
      <w:adjustRightInd/>
      <w:spacing w:before="240" w:after="120" w:line="360" w:lineRule="auto"/>
      <w:jc w:val="center"/>
    </w:pPr>
    <w:rPr>
      <w:rFonts w:ascii="宋体" w:hAnsi="宋体" w:eastAsia="黑体"/>
      <w:b/>
      <w:sz w:val="24"/>
      <w:szCs w:val="20"/>
    </w:rPr>
  </w:style>
  <w:style w:type="paragraph" w:customStyle="1" w:styleId="398">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9">
    <w:name w:val="默认段落字体 Para Char Char Char Char"/>
    <w:basedOn w:val="1"/>
    <w:qFormat/>
    <w:uiPriority w:val="0"/>
    <w:rPr>
      <w:szCs w:val="24"/>
    </w:rPr>
  </w:style>
  <w:style w:type="paragraph" w:customStyle="1" w:styleId="40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01">
    <w:name w:val="xl27"/>
    <w:basedOn w:val="1"/>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22"/>
    </w:rPr>
  </w:style>
  <w:style w:type="paragraph" w:customStyle="1" w:styleId="40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403">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40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405">
    <w:name w:val="xl6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6"/>
      <w:szCs w:val="26"/>
    </w:rPr>
  </w:style>
  <w:style w:type="paragraph" w:customStyle="1" w:styleId="407">
    <w:name w:val="Char Char10"/>
    <w:basedOn w:val="1"/>
    <w:qFormat/>
    <w:uiPriority w:val="0"/>
    <w:pPr>
      <w:spacing w:line="360" w:lineRule="auto"/>
    </w:pPr>
    <w:rPr>
      <w:rFonts w:ascii="Tahoma" w:hAnsi="Tahoma"/>
      <w:sz w:val="24"/>
      <w:szCs w:val="20"/>
    </w:rPr>
  </w:style>
  <w:style w:type="paragraph" w:customStyle="1" w:styleId="408">
    <w:name w:val="列表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2061</Words>
  <Characters>11750</Characters>
  <Lines>97</Lines>
  <Paragraphs>27</Paragraphs>
  <TotalTime>0</TotalTime>
  <ScaleCrop>false</ScaleCrop>
  <LinksUpToDate>false</LinksUpToDate>
  <CharactersWithSpaces>13784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2023-03-30T08:47:00Z</dcterms:created>
  <dc:creator>金华市恒信招标代理有限公司</dc:creator>
  <cp:lastModifiedBy>Administrator</cp:lastModifiedBy>
  <cp:lastPrinted>2021-05-10T01:30:00Z</cp:lastPrinted>
  <dcterms:modified xsi:type="dcterms:W3CDTF">2023-06-01T03:49:58Z</dcterms:modified>
  <dc:title>金华市恒信招标代理有限公司关于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4EBE336CB1B54185870943156A731A2D</vt:lpwstr>
  </property>
</Properties>
</file>