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/>
        <w:ind w:left="238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金医集团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次氯酸钠消毒液和工业用氢氧化钠（片碱）</w:t>
      </w:r>
    </w:p>
    <w:p>
      <w:pPr>
        <w:snapToGrid w:val="0"/>
        <w:spacing w:after="120" w:afterLines="50"/>
        <w:ind w:left="238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市场调研需求</w:t>
      </w:r>
    </w:p>
    <w:p>
      <w:pPr>
        <w:snapToGrid w:val="0"/>
        <w:spacing w:line="420" w:lineRule="exact"/>
        <w:ind w:firstLine="482" w:firstLineChars="200"/>
        <w:rPr>
          <w:rFonts w:hint="eastAsia" w:ascii="仿宋" w:hAnsi="仿宋" w:eastAsia="仿宋" w:cs="仿宋"/>
          <w:b/>
          <w:sz w:val="24"/>
        </w:rPr>
      </w:pPr>
    </w:p>
    <w:p>
      <w:pPr>
        <w:snapToGrid w:val="0"/>
        <w:spacing w:line="420" w:lineRule="exact"/>
        <w:ind w:firstLine="482" w:firstLineChars="2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一、技术要求：</w:t>
      </w:r>
    </w:p>
    <w:p>
      <w:pPr>
        <w:tabs>
          <w:tab w:val="left" w:pos="0"/>
        </w:tabs>
        <w:spacing w:line="420" w:lineRule="exact"/>
        <w:ind w:firstLine="602" w:firstLineChars="25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带 “</w:t>
      </w:r>
      <w:r>
        <w:rPr>
          <w:rFonts w:hint="eastAsia" w:ascii="仿宋" w:hAnsi="仿宋" w:eastAsia="仿宋" w:cs="仿宋"/>
          <w:b/>
          <w:sz w:val="24"/>
        </w:rPr>
        <w:t>▲</w:t>
      </w:r>
      <w:r>
        <w:rPr>
          <w:rFonts w:hint="eastAsia" w:ascii="仿宋" w:hAnsi="仿宋" w:eastAsia="仿宋" w:cs="仿宋"/>
          <w:b/>
          <w:bCs/>
          <w:sz w:val="24"/>
        </w:rPr>
        <w:t>”条款为必须满足条款。</w:t>
      </w:r>
    </w:p>
    <w:tbl>
      <w:tblPr>
        <w:tblStyle w:val="3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5377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规格型号/技术参数要求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次氯酸钠消毒液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1、产品质量技术符合国家GB19106-2013 A型Ⅱ级标准；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▲2、有效氯(以Cl计）的质量分数：≧10%；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▲3、游离碱(以NaOH计）的质量分数：0.1%-1.0%；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4、铁(以Fe计）的质量分数：≦0.005%；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5、重金属(以Pb计)的质量分数：≦0.001%；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6、砷(以As计）的质量分数：≦0.0001%。</w:t>
            </w: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从合同生效之日起金华市中心医院两年内、金华市妇幼保健院一年内按污水处理站实际使用量分批供货，根据产品使用情况及抽检情况，如有质量问题需方有权终止合同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9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工业用氢氧化钠（片碱)</w:t>
            </w:r>
          </w:p>
        </w:tc>
        <w:tc>
          <w:tcPr>
            <w:tcW w:w="5377" w:type="dxa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▲1、NaOH≧98.0%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2、25kg/袋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tabs>
                <w:tab w:val="left" w:pos="507"/>
              </w:tabs>
              <w:spacing w:line="42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3、《GB209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</w:rPr>
              <w:t>2006》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工业用氢氧化钠。</w:t>
            </w: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tabs>
                <w:tab w:val="left" w:pos="507"/>
              </w:tabs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420" w:lineRule="exact"/>
        <w:ind w:firstLine="482" w:firstLineChars="2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对</w:t>
      </w:r>
      <w:r>
        <w:rPr>
          <w:rFonts w:hint="eastAsia" w:ascii="仿宋" w:hAnsi="仿宋" w:eastAsia="仿宋" w:cs="仿宋"/>
          <w:b/>
          <w:sz w:val="24"/>
          <w:lang w:eastAsia="zh-CN"/>
        </w:rPr>
        <w:t>供应商</w:t>
      </w:r>
      <w:r>
        <w:rPr>
          <w:rFonts w:hint="eastAsia" w:ascii="仿宋" w:hAnsi="仿宋" w:eastAsia="仿宋" w:cs="仿宋"/>
          <w:b/>
          <w:sz w:val="24"/>
        </w:rPr>
        <w:t>提供的产品及服务的要求：</w:t>
      </w:r>
      <w:bookmarkStart w:id="0" w:name="_GoBack"/>
      <w:bookmarkEnd w:id="0"/>
    </w:p>
    <w:p>
      <w:pPr>
        <w:pStyle w:val="2"/>
        <w:spacing w:line="420" w:lineRule="exact"/>
        <w:ind w:firstLine="470" w:firstLineChars="19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1、固定单价承包，数量按实计量。合同期限：金华市中心医院：</w:t>
      </w:r>
      <w:r>
        <w:rPr>
          <w:rFonts w:hint="eastAsia" w:ascii="仿宋" w:hAnsi="仿宋" w:eastAsia="仿宋" w:cs="仿宋"/>
          <w:lang w:eastAsia="zh-CN"/>
        </w:rPr>
        <w:t>一</w:t>
      </w:r>
      <w:r>
        <w:rPr>
          <w:rFonts w:hint="eastAsia" w:ascii="仿宋" w:hAnsi="仿宋" w:eastAsia="仿宋" w:cs="仿宋"/>
        </w:rPr>
        <w:t>年或合同实际发生金额达到34万元（以先到者为准）；金华市妇幼保健院：一年或合同实际发生金额达到15万元（以先到者为准）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服务期满后，</w:t>
      </w:r>
      <w:r>
        <w:rPr>
          <w:rFonts w:hint="eastAsia" w:ascii="仿宋" w:hAnsi="仿宋" w:eastAsia="仿宋" w:cs="仿宋"/>
          <w:lang w:eastAsia="zh-CN"/>
        </w:rPr>
        <w:t>双方协商同意</w:t>
      </w:r>
      <w:r>
        <w:rPr>
          <w:rFonts w:hint="eastAsia" w:ascii="仿宋" w:hAnsi="仿宋" w:eastAsia="仿宋" w:cs="仿宋"/>
        </w:rPr>
        <w:t>，可续签一年。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2、服务质量：根据需方生产需要，供方应在需方通知送货后48小时内将货物送到需方指定位置，完成供货。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质量保证：合同签订后，在合同期内需方将按上述质量要求进行跟踪，并根据使用情况对产品进行采样送第三方专业检测部门进行检测（检测费用由中标单位承担），一旦发现质量问题，需方有权终止合同，并追究供方因质量问题造成对需方的损失和对生产的直接影响，造成一般质量问题，需方将扣除当次总货款的10%，造成较大质量问题，需方将扣除当次总货款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报价原则：本项目实际报价包含货物、技术服务、运输、装卸、保险、售后服务费用、过磅称重、验收、税金及一切相关费用。投标人需根据本项目合同期内，预测市场销售价格有可能发生的变化进行报价，需方一旦录用，合同签订后，在合同期内价格将不作调整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交货要求：供货方在合同有效期内，根据采购方生产需要安排，次氯酸钠消毒液、工业用氢氧化钠（片碱)、每次送货量按需方实际需要，送货时间以电话通知为准，每次送货数量需过磅称重，并由需方相关人员按实签收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6、供货方应做好产品运输及装卸途中的安全工作，装运药剂时槽车不能混入其他残液。运输车辆必需具备运输车辆行驶证及危化品运输证《营运证》及司机和押运人员危化品押运资格证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并在有效期内送货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</w:rPr>
        <w:t>途中一旦发生安全事故由供货方承担。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7、质保期：次氯酸钠消毒液质保期为30天；工业用氢氧化钠（片碱)质保期为一年。到货质量合格率100%，到货产品实际有效期限不得少于质保期的四分之三，满足技术参数及国家相关标准的要求。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8、付款方式：根据实际用量按</w:t>
      </w:r>
      <w:r>
        <w:rPr>
          <w:rFonts w:hint="eastAsia" w:ascii="仿宋" w:hAnsi="仿宋" w:eastAsia="仿宋" w:cs="仿宋"/>
          <w:sz w:val="24"/>
          <w:lang w:eastAsia="zh-CN"/>
        </w:rPr>
        <w:t>月</w:t>
      </w:r>
      <w:r>
        <w:rPr>
          <w:rFonts w:hint="eastAsia" w:ascii="仿宋" w:hAnsi="仿宋" w:eastAsia="仿宋" w:cs="仿宋"/>
          <w:sz w:val="24"/>
        </w:rPr>
        <w:t>支付，供方提供正式税务发票，15个工作日后按相关程序支付。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FFF7E5"/>
    <w:multiLevelType w:val="singleLevel"/>
    <w:tmpl w:val="DEFFF7E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45AD"/>
    <w:rsid w:val="24C145AD"/>
    <w:rsid w:val="337678CF"/>
    <w:rsid w:val="62E67700"/>
    <w:rsid w:val="69AD5BCE"/>
    <w:rsid w:val="78A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2023-12-15T06:04:00Z</dcterms:created>
  <dc:creator>MeowMeister</dc:creator>
  <cp:lastModifiedBy>不喜欢春天</cp:lastModifiedBy>
  <dcterms:modified xsi:type="dcterms:W3CDTF">2023-12-19T08:59:34Z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