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金华市中心医院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手术室电动沙发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采购项目需求</w:t>
      </w:r>
    </w:p>
    <w:tbl>
      <w:tblPr>
        <w:tblStyle w:val="6"/>
        <w:tblpPr w:leftFromText="180" w:rightFromText="180" w:vertAnchor="page" w:horzAnchor="page" w:tblpX="1990" w:tblpY="2731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30"/>
        <w:gridCol w:w="450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名  称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数量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eastAsia="zh-CN"/>
              </w:rPr>
              <w:t>品牌、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型号、规格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lang w:eastAsia="zh-CN"/>
              </w:rPr>
              <w:t>、功能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电动沙发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4台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知名品牌，头等舱电动沙发；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座宽≥48厘米，座深≥51厘米，坐高≥47厘米；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面料：接触面头层牛皮；框架材质：合金架+其他；脚材质：合金架；填充物：海绵+其他；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功能：电动调节、助力起身、USB充电；可调节到160平躺；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多种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颜色可选；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其他：颈部、背部、腰部三区贴合“S”型支撑设计；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质保整体3年。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462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投标人需提供样品或图册</w:t>
            </w:r>
          </w:p>
          <w:p>
            <w:pPr>
              <w:widowControl/>
              <w:numPr>
                <w:numId w:val="0"/>
              </w:numPr>
              <w:tabs>
                <w:tab w:val="left" w:pos="462"/>
              </w:tabs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833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注：投标总报价系指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采购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文件所确定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采购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范围内全部工作内容的价格表现，包括但不仅限于中标后的货物材料费、包装、人工费、运输、装卸、售后、培训、利润、政策性文件规定及合同包含的所有风险及责任等各项应有费用。</w:t>
            </w:r>
          </w:p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预算费用为：人民币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贰万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元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整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。</w:t>
            </w:r>
          </w:p>
        </w:tc>
      </w:tr>
    </w:tbl>
    <w:p>
      <w:pPr>
        <w:tabs>
          <w:tab w:val="left" w:pos="443"/>
          <w:tab w:val="center" w:pos="6200"/>
        </w:tabs>
        <w:jc w:val="both"/>
        <w:rPr>
          <w:rFonts w:hint="eastAsia" w:cs="宋体" w:asciiTheme="minorEastAsia" w:hAnsiTheme="minorEastAsia" w:eastAsiaTheme="minorEastAsia"/>
          <w:b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  </w:t>
      </w:r>
      <w:r>
        <w:rPr>
          <w:rFonts w:hint="eastAsia" w:cs="宋体" w:asciiTheme="minorEastAsia" w:hAnsiTheme="minorEastAsia" w:eastAsiaTheme="minorEastAsia"/>
          <w:b/>
          <w:sz w:val="24"/>
        </w:rPr>
        <w:t xml:space="preserve">      </w:t>
      </w:r>
    </w:p>
    <w:p>
      <w:pPr>
        <w:jc w:val="both"/>
        <w:rPr>
          <w:rFonts w:hint="eastAsia" w:cs="宋体" w:asciiTheme="minorEastAsia" w:hAnsiTheme="minorEastAsia" w:eastAsiaTheme="minorEastAsia"/>
          <w:b/>
          <w:sz w:val="24"/>
          <w:lang w:eastAsia="zh-CN"/>
        </w:rPr>
      </w:pPr>
    </w:p>
    <w:p>
      <w:pPr>
        <w:jc w:val="both"/>
        <w:rPr>
          <w:rFonts w:hint="eastAsia" w:cs="宋体" w:asciiTheme="minorEastAsia" w:hAnsiTheme="minorEastAsia" w:eastAsiaTheme="minorEastAsia"/>
          <w:b/>
          <w:sz w:val="24"/>
          <w:lang w:eastAsia="zh-CN"/>
        </w:rPr>
      </w:pPr>
    </w:p>
    <w:p>
      <w:pPr>
        <w:jc w:val="center"/>
      </w:pPr>
      <w:r>
        <w:rPr>
          <w:rFonts w:hint="eastAsia" w:cs="宋体" w:asciiTheme="minorEastAsia" w:hAnsiTheme="minorEastAsia" w:eastAsiaTheme="minorEastAsia"/>
          <w:b/>
          <w:sz w:val="24"/>
        </w:rPr>
        <w:t xml:space="preserve">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44A218"/>
    <w:multiLevelType w:val="singleLevel"/>
    <w:tmpl w:val="C144A21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7DCCDE2"/>
    <w:multiLevelType w:val="singleLevel"/>
    <w:tmpl w:val="77DCCD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ZjM1ZDE5ODFmNDM0NDkxMWUyYjU0MGM4NTU2MTQifQ=="/>
  </w:docVars>
  <w:rsids>
    <w:rsidRoot w:val="003400C4"/>
    <w:rsid w:val="0005730E"/>
    <w:rsid w:val="003400C4"/>
    <w:rsid w:val="007A5BF5"/>
    <w:rsid w:val="008C3172"/>
    <w:rsid w:val="00912FDE"/>
    <w:rsid w:val="0098051E"/>
    <w:rsid w:val="00A45DE3"/>
    <w:rsid w:val="00C17895"/>
    <w:rsid w:val="00C93EF0"/>
    <w:rsid w:val="00E70A0E"/>
    <w:rsid w:val="00F67721"/>
    <w:rsid w:val="01675816"/>
    <w:rsid w:val="02760C05"/>
    <w:rsid w:val="03641B27"/>
    <w:rsid w:val="03D73A84"/>
    <w:rsid w:val="046B0405"/>
    <w:rsid w:val="04935C27"/>
    <w:rsid w:val="05F938F4"/>
    <w:rsid w:val="06DC41DF"/>
    <w:rsid w:val="08C628E5"/>
    <w:rsid w:val="09E05C02"/>
    <w:rsid w:val="0A6C1145"/>
    <w:rsid w:val="0BE262ED"/>
    <w:rsid w:val="0C663E4A"/>
    <w:rsid w:val="0C7D5D10"/>
    <w:rsid w:val="0C835092"/>
    <w:rsid w:val="0CA629AB"/>
    <w:rsid w:val="0DE57E83"/>
    <w:rsid w:val="0E8B08BE"/>
    <w:rsid w:val="0E8E5A54"/>
    <w:rsid w:val="0F614EEF"/>
    <w:rsid w:val="0FA5718D"/>
    <w:rsid w:val="1106293F"/>
    <w:rsid w:val="11117841"/>
    <w:rsid w:val="11AA6E9A"/>
    <w:rsid w:val="11BA74A3"/>
    <w:rsid w:val="14F73B27"/>
    <w:rsid w:val="15B52200"/>
    <w:rsid w:val="169C2AD5"/>
    <w:rsid w:val="19F21E2C"/>
    <w:rsid w:val="1A204A53"/>
    <w:rsid w:val="1D121FC5"/>
    <w:rsid w:val="1E6C265A"/>
    <w:rsid w:val="1FD233B0"/>
    <w:rsid w:val="229C4F9E"/>
    <w:rsid w:val="24E536C0"/>
    <w:rsid w:val="25122FFF"/>
    <w:rsid w:val="25706D9A"/>
    <w:rsid w:val="259F1D6C"/>
    <w:rsid w:val="262B3D4A"/>
    <w:rsid w:val="26B47679"/>
    <w:rsid w:val="274F761B"/>
    <w:rsid w:val="27D85023"/>
    <w:rsid w:val="2AC573DE"/>
    <w:rsid w:val="2DAD51FF"/>
    <w:rsid w:val="2E4443B5"/>
    <w:rsid w:val="30491BB8"/>
    <w:rsid w:val="32484366"/>
    <w:rsid w:val="33840FF4"/>
    <w:rsid w:val="354B2D9E"/>
    <w:rsid w:val="361D5F0E"/>
    <w:rsid w:val="36756BE7"/>
    <w:rsid w:val="37280F1A"/>
    <w:rsid w:val="374F79F8"/>
    <w:rsid w:val="3874419D"/>
    <w:rsid w:val="38930719"/>
    <w:rsid w:val="394D00D9"/>
    <w:rsid w:val="39F35568"/>
    <w:rsid w:val="3A7F0BDD"/>
    <w:rsid w:val="3CA6080A"/>
    <w:rsid w:val="3F0376D3"/>
    <w:rsid w:val="3F8D389D"/>
    <w:rsid w:val="3FA70E40"/>
    <w:rsid w:val="3FF24612"/>
    <w:rsid w:val="407C664A"/>
    <w:rsid w:val="40D364EE"/>
    <w:rsid w:val="41325FB4"/>
    <w:rsid w:val="41ED7B9C"/>
    <w:rsid w:val="454B2AC5"/>
    <w:rsid w:val="45B42507"/>
    <w:rsid w:val="470303B9"/>
    <w:rsid w:val="470E2B1D"/>
    <w:rsid w:val="470F6A18"/>
    <w:rsid w:val="47F77FEA"/>
    <w:rsid w:val="486A7E27"/>
    <w:rsid w:val="48DB6C1D"/>
    <w:rsid w:val="4A8359E5"/>
    <w:rsid w:val="4CF70CF9"/>
    <w:rsid w:val="4D0B13C5"/>
    <w:rsid w:val="4E020C94"/>
    <w:rsid w:val="4E140455"/>
    <w:rsid w:val="4E3E406D"/>
    <w:rsid w:val="4E5A48CE"/>
    <w:rsid w:val="4F361E1A"/>
    <w:rsid w:val="504008AA"/>
    <w:rsid w:val="505E49FD"/>
    <w:rsid w:val="507A4C85"/>
    <w:rsid w:val="51734E05"/>
    <w:rsid w:val="52464C8C"/>
    <w:rsid w:val="531D5C6E"/>
    <w:rsid w:val="53F72115"/>
    <w:rsid w:val="54A80061"/>
    <w:rsid w:val="554948DF"/>
    <w:rsid w:val="55647B03"/>
    <w:rsid w:val="56E55396"/>
    <w:rsid w:val="581568BC"/>
    <w:rsid w:val="59556D49"/>
    <w:rsid w:val="59622F47"/>
    <w:rsid w:val="598A0B49"/>
    <w:rsid w:val="59CD36DF"/>
    <w:rsid w:val="5A882B5C"/>
    <w:rsid w:val="5AA33E1E"/>
    <w:rsid w:val="5B0F63E4"/>
    <w:rsid w:val="5B2C62FD"/>
    <w:rsid w:val="5BA6438B"/>
    <w:rsid w:val="5CEC20F4"/>
    <w:rsid w:val="5E655643"/>
    <w:rsid w:val="5E7F47DA"/>
    <w:rsid w:val="5E7F5E15"/>
    <w:rsid w:val="5F0C27DC"/>
    <w:rsid w:val="61DC44FB"/>
    <w:rsid w:val="62971DFF"/>
    <w:rsid w:val="62CA5756"/>
    <w:rsid w:val="64863305"/>
    <w:rsid w:val="65A21562"/>
    <w:rsid w:val="6610690E"/>
    <w:rsid w:val="688B7652"/>
    <w:rsid w:val="695401B4"/>
    <w:rsid w:val="6A102280"/>
    <w:rsid w:val="6A426F1B"/>
    <w:rsid w:val="6A54553F"/>
    <w:rsid w:val="6B217D9E"/>
    <w:rsid w:val="6B857285"/>
    <w:rsid w:val="6BE679BD"/>
    <w:rsid w:val="6C720152"/>
    <w:rsid w:val="6CD214E6"/>
    <w:rsid w:val="6FE03CBA"/>
    <w:rsid w:val="70625AA1"/>
    <w:rsid w:val="70C02E7A"/>
    <w:rsid w:val="71494C25"/>
    <w:rsid w:val="7155192D"/>
    <w:rsid w:val="722E06B4"/>
    <w:rsid w:val="72C031FF"/>
    <w:rsid w:val="72DC17DC"/>
    <w:rsid w:val="73CF17E4"/>
    <w:rsid w:val="74F1054A"/>
    <w:rsid w:val="75D226CB"/>
    <w:rsid w:val="75EC1465"/>
    <w:rsid w:val="762173C3"/>
    <w:rsid w:val="762B7240"/>
    <w:rsid w:val="76786EC7"/>
    <w:rsid w:val="77984D08"/>
    <w:rsid w:val="77E430CB"/>
    <w:rsid w:val="781A38D8"/>
    <w:rsid w:val="79880684"/>
    <w:rsid w:val="7BD36744"/>
    <w:rsid w:val="7C33535D"/>
    <w:rsid w:val="7C4F04E7"/>
    <w:rsid w:val="7F3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21"/>
    <w:basedOn w:val="7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456</Words>
  <Characters>475</Characters>
  <Lines>3</Lines>
  <Paragraphs>1</Paragraphs>
  <TotalTime>0</TotalTime>
  <ScaleCrop>false</ScaleCrop>
  <LinksUpToDate>false</LinksUpToDate>
  <CharactersWithSpaces>548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2018-08-21T07:15:00Z</dcterms:created>
  <dc:creator>蒋左兵</dc:creator>
  <cp:lastModifiedBy>不喜欢春天</cp:lastModifiedBy>
  <cp:lastPrinted>2019-05-06T00:21:00Z</cp:lastPrinted>
  <dcterms:modified xsi:type="dcterms:W3CDTF">2023-12-26T12:35:43Z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BBBB5717077044C3A960A7C5DC4DA6A6</vt:lpwstr>
  </property>
</Properties>
</file>