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kinsoku/>
        <w:wordWrap/>
        <w:overflowPunct/>
        <w:topLinePunct w:val="0"/>
        <w:autoSpaceDE/>
        <w:autoSpaceDN/>
        <w:bidi w:val="0"/>
        <w:ind w:firstLine="0" w:firstLineChars="0"/>
        <w:textAlignment w:val="auto"/>
        <w:rPr>
          <w:rFonts w:hint="eastAsia"/>
          <w:lang w:val="en-US" w:eastAsia="zh-CN"/>
        </w:rPr>
      </w:pPr>
      <w:r>
        <w:rPr>
          <w:rFonts w:hint="eastAsia"/>
          <w:lang w:val="en-US" w:eastAsia="zh-CN"/>
        </w:rPr>
        <w:t>金华市中心医院8号楼消防主机更换项目比选需求</w:t>
      </w:r>
    </w:p>
    <w:p>
      <w:pPr>
        <w:bidi w:val="0"/>
        <w:jc w:val="right"/>
        <w:rPr>
          <w:rFonts w:hint="default"/>
          <w:lang w:val="en-US" w:eastAsia="zh-CN"/>
        </w:rPr>
      </w:pPr>
      <w:r>
        <w:rPr>
          <w:rFonts w:hint="eastAsia"/>
          <w:sz w:val="21"/>
          <w:szCs w:val="20"/>
          <w:lang w:val="en-US" w:eastAsia="zh-CN"/>
        </w:rPr>
        <w:t xml:space="preserve">项目负责人：保卫科 朱先生 </w:t>
      </w:r>
      <w:r>
        <w:rPr>
          <w:rFonts w:hint="eastAsia"/>
          <w:sz w:val="21"/>
          <w:szCs w:val="20"/>
        </w:rPr>
        <w:t>0579-82552216</w:t>
      </w:r>
    </w:p>
    <w:p>
      <w:pPr>
        <w:pStyle w:val="5"/>
        <w:bidi w:val="0"/>
        <w:rPr>
          <w:rFonts w:hint="default"/>
          <w:lang w:val="en-US" w:eastAsia="zh-CN"/>
        </w:rPr>
      </w:pPr>
      <w:r>
        <w:rPr>
          <w:rFonts w:hint="eastAsia"/>
          <w:lang w:val="en-US" w:eastAsia="zh-CN"/>
        </w:rPr>
        <w:t>1、项目概况</w:t>
      </w:r>
    </w:p>
    <w:p>
      <w:pPr>
        <w:bidi w:val="0"/>
        <w:rPr>
          <w:rFonts w:hint="eastAsia"/>
          <w:lang w:val="en-US" w:eastAsia="zh-CN"/>
        </w:rPr>
      </w:pPr>
      <w:r>
        <w:rPr>
          <w:rFonts w:hint="eastAsia"/>
          <w:lang w:val="en-US" w:eastAsia="zh-CN"/>
        </w:rPr>
        <w:t>现有8号楼消控主机使用年限已达10年，经第三方检测评估，各项需求已达不到院内使用标准与要求，现申请重新采购一台新型消防主机 。</w:t>
      </w:r>
    </w:p>
    <w:p>
      <w:pPr>
        <w:pStyle w:val="5"/>
        <w:bidi w:val="0"/>
        <w:rPr>
          <w:rFonts w:hint="eastAsia"/>
          <w:lang w:val="en-US" w:eastAsia="zh-CN"/>
        </w:rPr>
      </w:pPr>
      <w:r>
        <w:rPr>
          <w:rFonts w:hint="eastAsia"/>
          <w:lang w:val="en-US" w:eastAsia="zh-CN"/>
        </w:rPr>
        <w:t>2、项目清单</w:t>
      </w:r>
    </w:p>
    <w:tbl>
      <w:tblPr>
        <w:tblStyle w:val="14"/>
        <w:tblW w:w="52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1380"/>
        <w:gridCol w:w="623"/>
        <w:gridCol w:w="1002"/>
        <w:gridCol w:w="3504"/>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产品名称</w:t>
            </w:r>
          </w:p>
        </w:tc>
        <w:tc>
          <w:tcPr>
            <w:tcW w:w="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单位</w:t>
            </w:r>
          </w:p>
        </w:tc>
        <w:tc>
          <w:tcPr>
            <w:tcW w:w="5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数量</w:t>
            </w:r>
          </w:p>
        </w:tc>
        <w:tc>
          <w:tcPr>
            <w:tcW w:w="20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产品参考参数</w:t>
            </w:r>
          </w:p>
        </w:tc>
        <w:tc>
          <w:tcPr>
            <w:tcW w:w="9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选型备注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直控盘终端器</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48</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火灾报警控制器/消防联动控制器</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琴台式，仅含1台琴台，约10.4寸真彩液晶显示，报警联动点总数为5808点,含打印机，根据工程实际控制点，可加配总线制操作盘及直接控制盘。含控制器嵌入式软件。</w:t>
            </w:r>
          </w:p>
        </w:tc>
        <w:tc>
          <w:tcPr>
            <w:tcW w:w="95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总线制操作盘</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3</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插盘结构，含128个手动控制点，可用于快捷启动/停动预设的联动设备，并可指示出该设备的反馈状态；含总线制操作盘嵌入式软件。</w:t>
            </w:r>
          </w:p>
        </w:tc>
        <w:tc>
          <w:tcPr>
            <w:tcW w:w="95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直接控制盘</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6</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柜式插盘结构，设有手动和自动输出控制功能，含8个直接控制点，具有外接线路发生短路及断路时的自检报警功能，采用DC24V有源输出和无源触点输入方式，须另购ZD-02终端器搭配使用；直接控制盘直接控制盘嵌入式软件。</w:t>
            </w:r>
          </w:p>
        </w:tc>
        <w:tc>
          <w:tcPr>
            <w:tcW w:w="95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非标双节琴台柜</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标配产品，不可独立销售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火灾显示盘</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总线型，数字式，可储存显示最多120条报警信息；二线制回路供电。</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暂定，根据主机匹配情况确定是否更换相应区域的设备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7</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智能电源盘（立柜用）</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 xml:space="preserve">柜式插盘结构，DC24V/8A </w:t>
            </w:r>
            <w:r>
              <w:rPr>
                <w:rFonts w:hint="eastAsia"/>
                <w:lang w:val="en-US" w:eastAsia="zh-CN"/>
              </w:rPr>
              <w:br w:type="textWrapping"/>
            </w:r>
            <w:r>
              <w:rPr>
                <w:rFonts w:hint="eastAsia"/>
                <w:lang w:val="en-US" w:eastAsia="zh-CN"/>
              </w:rPr>
              <w:t>输出，含2节24AH/12V电池备电，标准柜式1U结构</w:t>
            </w:r>
            <w:r>
              <w:rPr>
                <w:rFonts w:hint="eastAsia"/>
                <w:lang w:val="en-US" w:eastAsia="zh-CN"/>
              </w:rPr>
              <w:br w:type="textWrapping"/>
            </w:r>
            <w:r>
              <w:rPr>
                <w:rFonts w:hint="eastAsia"/>
                <w:lang w:val="en-US" w:eastAsia="zh-CN"/>
              </w:rPr>
              <w:t>（5000H/9000H立柜用）</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8</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智能电源盘（立柜用）</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柜式插盘结构，输出容量DC24V/24A。分三路电源输 出，每路8A。含2节24AH/12V电池备电，标准柜式1U 结构。（5000H/9000H立柜用）</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9</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消防控制室图形显示装置</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非触摸屏。本装置含一台LD-FB-600单节琴台柜、17寸一体化图形显示装置、 Linux操作系统。含消防控制室图形显示装置嵌入式软件系统。含鼠标键盘；内置1个USB接口，1个TCP/IP接口；单系统；含1个422接口，可连接1个控制器。（火灾报警/防火门/电气火灾/电源监控/可燃气体，任一）本装置非必选蓄电池，如需要选2节7AH/12V蓄电池。</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单系统/非触摸屏/单节琴台，如需要选2节7AH/12V蓄电池。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10</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接口卡</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可选配卡，用于连接图形显示装置系统，卡上提供了一路光电隔离的标准RS422接口。</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组柜发货（此代码不含附件）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11</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N联网接口卡</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可选配卡，提供了一路光电隔离的标准CAN接口，用于控制器之间的CAN总线联网。</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组柜发货（此代码不含附件）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12</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消防应急广播设备</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琴台柜式安装（功率6400W），配接广播控制器1台且最多不超过6400W，不含琴台柜（需要另选）</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琴台柜式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13</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广播功率放大器</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配套功率放大器，功率500W，不含柜，可组入各式19英寸标准机柜中。</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14</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消防电话</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标准 2U 柜式结构，工作电压 DC24V，每台消防电话可以带 99 个 消防电话分机及消防电话插孔接口。</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15</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消防电话分机</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编码型固定式分机当发生紧急情况时，摘下电话 手柄呼叫消防电话总机。</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老代码与院内原报警设备匹配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16</w:t>
            </w:r>
          </w:p>
        </w:tc>
        <w:tc>
          <w:tcPr>
            <w:tcW w:w="7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人工费</w:t>
            </w:r>
          </w:p>
        </w:tc>
        <w:tc>
          <w:tcPr>
            <w:tcW w:w="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人工</w:t>
            </w:r>
          </w:p>
        </w:tc>
        <w:tc>
          <w:tcPr>
            <w:tcW w:w="5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6</w:t>
            </w:r>
          </w:p>
        </w:tc>
        <w:tc>
          <w:tcPr>
            <w:tcW w:w="20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17</w:t>
            </w:r>
          </w:p>
        </w:tc>
        <w:tc>
          <w:tcPr>
            <w:tcW w:w="7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调试费</w:t>
            </w:r>
          </w:p>
        </w:tc>
        <w:tc>
          <w:tcPr>
            <w:tcW w:w="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项</w:t>
            </w:r>
          </w:p>
        </w:tc>
        <w:tc>
          <w:tcPr>
            <w:tcW w:w="5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r>
    </w:tbl>
    <w:p>
      <w:pPr>
        <w:bidi w:val="0"/>
        <w:ind w:left="0" w:leftChars="0" w:firstLine="440" w:firstLineChars="200"/>
        <w:rPr>
          <w:rFonts w:hint="default"/>
          <w:lang w:val="en-US" w:eastAsia="zh-CN"/>
        </w:rPr>
      </w:pPr>
      <w:r>
        <w:rPr>
          <w:rFonts w:hint="eastAsia"/>
          <w:sz w:val="22"/>
          <w:szCs w:val="21"/>
          <w:lang w:val="en-US" w:eastAsia="zh-CN"/>
        </w:rPr>
        <w:t>备注：本项目报价包括但不仅限于货物材料费、施工人工费、辅材（自流平、胶水等）、税费、包装、工具费、运输、装卸、劳务、保险、管理、售后、培训、利润、材料采管、设备机械、勘察、临时设施税金、政策性文件规定及合同包含的所有风险及责任等各项应有费用。</w:t>
      </w:r>
    </w:p>
    <w:p>
      <w:pPr>
        <w:pStyle w:val="5"/>
        <w:bidi w:val="0"/>
        <w:rPr>
          <w:rFonts w:hint="eastAsia"/>
          <w:lang w:val="en-US" w:eastAsia="zh-CN"/>
        </w:rPr>
      </w:pPr>
      <w:r>
        <w:rPr>
          <w:rFonts w:hint="eastAsia"/>
          <w:lang w:val="en-US" w:eastAsia="zh-CN"/>
        </w:rPr>
        <w:t>3、项目预算</w:t>
      </w:r>
    </w:p>
    <w:p>
      <w:pPr>
        <w:bidi w:val="0"/>
        <w:rPr>
          <w:rFonts w:hint="eastAsia"/>
          <w:lang w:val="en-US" w:eastAsia="zh-CN"/>
        </w:rPr>
      </w:pPr>
      <w:r>
        <w:rPr>
          <w:rFonts w:hint="eastAsia"/>
          <w:lang w:val="en-US" w:eastAsia="zh-CN"/>
        </w:rPr>
        <w:t>本项目年度预算金额伍万元整（50000.00元），投标人报价不得超过本项目预算。</w:t>
      </w:r>
    </w:p>
    <w:p>
      <w:pPr>
        <w:pStyle w:val="5"/>
        <w:bidi w:val="0"/>
        <w:rPr>
          <w:rFonts w:hint="default"/>
          <w:lang w:val="en-US" w:eastAsia="zh-CN"/>
        </w:rPr>
      </w:pPr>
      <w:r>
        <w:rPr>
          <w:rFonts w:hint="eastAsia"/>
          <w:lang w:val="en-US" w:eastAsia="zh-CN"/>
        </w:rPr>
        <w:t>4、付款方式</w:t>
      </w:r>
      <w:bookmarkStart w:id="0" w:name="_GoBack"/>
      <w:bookmarkEnd w:id="0"/>
    </w:p>
    <w:p>
      <w:pPr>
        <w:bidi w:val="0"/>
        <w:rPr>
          <w:rFonts w:hint="default"/>
          <w:lang w:val="en-US" w:eastAsia="zh-CN"/>
        </w:rPr>
      </w:pPr>
      <w:r>
        <w:rPr>
          <w:rFonts w:hint="default"/>
          <w:lang w:val="en-US" w:eastAsia="zh-CN"/>
        </w:rPr>
        <w:t>（1）</w:t>
      </w:r>
      <w:r>
        <w:rPr>
          <w:rFonts w:hint="eastAsia"/>
          <w:lang w:val="en-US" w:eastAsia="zh-CN"/>
        </w:rPr>
        <w:t>工程施工结束并经验收合格后，采购人</w:t>
      </w:r>
      <w:r>
        <w:rPr>
          <w:rFonts w:hint="default"/>
          <w:lang w:val="en-US" w:eastAsia="zh-CN"/>
        </w:rPr>
        <w:t>凭</w:t>
      </w:r>
      <w:r>
        <w:rPr>
          <w:rFonts w:hint="eastAsia"/>
          <w:lang w:val="en-US" w:eastAsia="zh-CN"/>
        </w:rPr>
        <w:t>中标人</w:t>
      </w:r>
      <w:r>
        <w:rPr>
          <w:rFonts w:hint="default"/>
          <w:lang w:val="en-US" w:eastAsia="zh-CN"/>
        </w:rPr>
        <w:t>开具的正式发票</w:t>
      </w:r>
      <w:r>
        <w:rPr>
          <w:rFonts w:hint="eastAsia"/>
          <w:lang w:val="en-US" w:eastAsia="zh-CN"/>
        </w:rPr>
        <w:t>支付</w:t>
      </w:r>
      <w:r>
        <w:rPr>
          <w:rFonts w:hint="default"/>
          <w:lang w:val="en-US" w:eastAsia="zh-CN"/>
        </w:rPr>
        <w:t>实际完成工程量价款的</w:t>
      </w:r>
      <w:r>
        <w:rPr>
          <w:rFonts w:hint="eastAsia"/>
          <w:lang w:val="en-US" w:eastAsia="zh-CN"/>
        </w:rPr>
        <w:t>90%；验收合格一年后无遗留问题支付</w:t>
      </w:r>
      <w:r>
        <w:rPr>
          <w:rFonts w:hint="default"/>
          <w:lang w:val="en-US" w:eastAsia="zh-CN"/>
        </w:rPr>
        <w:t>实际完成工程量价款</w:t>
      </w:r>
      <w:r>
        <w:rPr>
          <w:rFonts w:hint="eastAsia"/>
          <w:lang w:val="en-US" w:eastAsia="zh-CN"/>
        </w:rPr>
        <w:t>的10%</w:t>
      </w:r>
      <w:r>
        <w:rPr>
          <w:rFonts w:hint="default"/>
          <w:lang w:val="en-US" w:eastAsia="zh-CN"/>
        </w:rPr>
        <w:t>。</w:t>
      </w:r>
    </w:p>
    <w:p>
      <w:pPr>
        <w:bidi w:val="0"/>
        <w:rPr>
          <w:rFonts w:hint="default"/>
          <w:lang w:val="en-US" w:eastAsia="zh-CN"/>
        </w:rPr>
      </w:pPr>
      <w:r>
        <w:rPr>
          <w:rFonts w:hint="default"/>
          <w:lang w:val="en-US" w:eastAsia="zh-CN"/>
        </w:rPr>
        <w:t>（2）采购人付款前，中标人应向采购人开具等额有效的增值税发票，采购人未收到发票的，有权不予支付相应款项直至中标人提供有效发票，并不承担延迟付款责任。发票认证通过是付款的必要前提之一。</w:t>
      </w:r>
    </w:p>
    <w:p>
      <w:pPr>
        <w:bidi w:val="0"/>
        <w:rPr>
          <w:rFonts w:hint="default"/>
          <w:lang w:val="en-US" w:eastAsia="zh-CN"/>
        </w:rPr>
      </w:pPr>
      <w:r>
        <w:rPr>
          <w:rFonts w:hint="default"/>
          <w:lang w:val="en-US" w:eastAsia="zh-CN"/>
        </w:rPr>
        <w:t>（3）当合同数量与实际数量不一致时，中标人应根据实际完成工程量供货，合同的最终结算金额按实际完成工程量乘以成交单价进行计算。</w:t>
      </w:r>
    </w:p>
    <w:p>
      <w:pPr>
        <w:pStyle w:val="5"/>
        <w:bidi w:val="0"/>
        <w:rPr>
          <w:rFonts w:hint="eastAsia"/>
          <w:lang w:val="en-US" w:eastAsia="zh-CN"/>
        </w:rPr>
      </w:pPr>
      <w:r>
        <w:rPr>
          <w:rFonts w:hint="eastAsia"/>
          <w:lang w:val="en-US" w:eastAsia="zh-CN"/>
        </w:rPr>
        <w:t>5、交付要求</w:t>
      </w:r>
    </w:p>
    <w:p>
      <w:pPr>
        <w:bidi w:val="0"/>
        <w:rPr>
          <w:rFonts w:hint="eastAsia"/>
          <w:lang w:val="en-US" w:eastAsia="zh-CN"/>
        </w:rPr>
      </w:pPr>
      <w:r>
        <w:rPr>
          <w:rFonts w:hint="eastAsia"/>
          <w:lang w:val="en-US" w:eastAsia="zh-CN"/>
        </w:rPr>
        <w:t>（1）交付期：合同签订完成并收到采购人通知15个工作日内完成所有供货、定制及施工工作。</w:t>
      </w:r>
    </w:p>
    <w:p>
      <w:pPr>
        <w:bidi w:val="0"/>
        <w:rPr>
          <w:rFonts w:hint="eastAsia"/>
          <w:lang w:val="en-US" w:eastAsia="zh-CN"/>
        </w:rPr>
      </w:pPr>
      <w:r>
        <w:rPr>
          <w:rFonts w:hint="eastAsia"/>
          <w:lang w:val="en-US" w:eastAsia="zh-CN"/>
        </w:rPr>
        <w:t>（2）因现场场地目前已经在使用中，考虑场地的特殊性，可在白天施工，有噪音的工程需在22点之前结束施工。</w:t>
      </w:r>
    </w:p>
    <w:p>
      <w:pPr>
        <w:pStyle w:val="5"/>
        <w:bidi w:val="0"/>
        <w:rPr>
          <w:rFonts w:hint="eastAsia"/>
          <w:lang w:val="en-US" w:eastAsia="zh-CN"/>
        </w:rPr>
      </w:pPr>
      <w:r>
        <w:rPr>
          <w:rFonts w:hint="eastAsia"/>
          <w:lang w:val="en-US" w:eastAsia="zh-CN"/>
        </w:rPr>
        <w:t>6、服务及施工要求</w:t>
      </w:r>
    </w:p>
    <w:p>
      <w:pPr>
        <w:bidi w:val="0"/>
        <w:rPr>
          <w:rFonts w:hint="eastAsia"/>
          <w:lang w:val="en-US" w:eastAsia="zh-CN"/>
        </w:rPr>
      </w:pPr>
      <w:r>
        <w:rPr>
          <w:rFonts w:hint="eastAsia"/>
          <w:lang w:val="en-US" w:eastAsia="zh-CN"/>
        </w:rPr>
        <w:t>（1）中标人需提供不少于</w:t>
      </w:r>
      <w:r>
        <w:rPr>
          <w:rFonts w:hint="eastAsia"/>
          <w:u w:val="single"/>
          <w:lang w:val="en-US" w:eastAsia="zh-CN"/>
        </w:rPr>
        <w:t xml:space="preserve"> 壹 </w:t>
      </w:r>
      <w:r>
        <w:rPr>
          <w:rFonts w:hint="eastAsia"/>
          <w:lang w:val="en-US" w:eastAsia="zh-CN"/>
        </w:rPr>
        <w:t>年的质保期，自施工完成交付至采购人使用科室接收之日起至质保期届满且经采购人确认无任何质量问题时止。在质保期内，中标人应对施工项目的质量及安全问题负责处理解决并承担一切费用。</w:t>
      </w:r>
    </w:p>
    <w:p>
      <w:pPr>
        <w:bidi w:val="0"/>
        <w:rPr>
          <w:rFonts w:hint="eastAsia"/>
          <w:lang w:val="en-US" w:eastAsia="zh-CN"/>
        </w:rPr>
      </w:pPr>
      <w:r>
        <w:rPr>
          <w:rFonts w:hint="eastAsia"/>
          <w:lang w:val="en-US" w:eastAsia="zh-CN"/>
        </w:rPr>
        <w:t>（2）质保期内，中标人需提供24小时电话支持服务。中标人接到采购人通知后1个小时内响应，2个小时内排除故障。</w:t>
      </w:r>
    </w:p>
    <w:p>
      <w:pPr>
        <w:bidi w:val="0"/>
        <w:rPr>
          <w:rFonts w:hint="eastAsia"/>
          <w:lang w:val="en-US" w:eastAsia="zh-CN"/>
        </w:rPr>
      </w:pPr>
      <w:r>
        <w:rPr>
          <w:rFonts w:hint="eastAsia"/>
          <w:lang w:val="en-US" w:eastAsia="zh-CN"/>
        </w:rPr>
        <w:t>（3）在质保期结束时，中标人需施工项目区域进行一次全面的维修和维护。</w:t>
      </w:r>
    </w:p>
    <w:p>
      <w:pPr>
        <w:bidi w:val="0"/>
        <w:rPr>
          <w:rFonts w:hint="eastAsia"/>
          <w:lang w:val="en-US" w:eastAsia="zh-CN"/>
        </w:rPr>
      </w:pPr>
      <w:r>
        <w:rPr>
          <w:rFonts w:hint="eastAsia"/>
          <w:lang w:val="en-US" w:eastAsia="zh-CN"/>
        </w:rPr>
        <w:t>（4）中标人必须严格按照国家相关行业标准、技术要求进行施工，按时保质保量完成，工程质量标准须达到合格以上。</w:t>
      </w:r>
    </w:p>
    <w:p>
      <w:pPr>
        <w:pStyle w:val="5"/>
        <w:bidi w:val="0"/>
        <w:rPr>
          <w:rFonts w:hint="eastAsia"/>
          <w:lang w:val="en-US" w:eastAsia="zh-CN"/>
        </w:rPr>
      </w:pPr>
      <w:r>
        <w:rPr>
          <w:rFonts w:hint="eastAsia"/>
          <w:lang w:val="en-US" w:eastAsia="zh-CN"/>
        </w:rPr>
        <w:t>7、安全生产要求</w:t>
      </w:r>
    </w:p>
    <w:p>
      <w:pPr>
        <w:bidi w:val="0"/>
        <w:rPr>
          <w:rFonts w:hint="eastAsia"/>
          <w:lang w:val="en-US" w:eastAsia="zh-CN"/>
        </w:rPr>
      </w:pPr>
      <w:r>
        <w:rPr>
          <w:rFonts w:hint="eastAsia"/>
          <w:lang w:val="en-US" w:eastAsia="zh-CN"/>
        </w:rPr>
        <w:t>（1）中标人应自觉提高安全生产意识，做好现场安全防护措施，确保施工安全。</w:t>
      </w:r>
    </w:p>
    <w:p>
      <w:pPr>
        <w:bidi w:val="0"/>
        <w:rPr>
          <w:rFonts w:hint="eastAsia"/>
          <w:lang w:val="en-US" w:eastAsia="zh-CN"/>
        </w:rPr>
      </w:pPr>
      <w:r>
        <w:rPr>
          <w:rFonts w:hint="eastAsia"/>
          <w:lang w:val="en-US" w:eastAsia="zh-CN"/>
        </w:rPr>
        <w:t>（2）施工期间严格遵守采购人相关规章要求，做好防火防水，及做到文明施工。</w:t>
      </w:r>
    </w:p>
    <w:p>
      <w:pPr>
        <w:bidi w:val="0"/>
        <w:rPr>
          <w:rFonts w:hint="eastAsia"/>
          <w:lang w:val="en-US" w:eastAsia="zh-CN"/>
        </w:rPr>
      </w:pPr>
      <w:r>
        <w:rPr>
          <w:rFonts w:hint="eastAsia"/>
          <w:lang w:val="en-US" w:eastAsia="zh-CN"/>
        </w:rPr>
        <w:t>（3）施工期间不得影响采购人的正常医疗工作运营。如：材料的运输需做好电梯防护和错开病人高峰期，材料的堆放不能影响消防及病人通道等。</w:t>
      </w:r>
    </w:p>
    <w:p>
      <w:pPr>
        <w:bidi w:val="0"/>
        <w:rPr>
          <w:rFonts w:hint="eastAsia"/>
          <w:lang w:val="en-US" w:eastAsia="zh-CN"/>
        </w:rPr>
      </w:pPr>
      <w:r>
        <w:rPr>
          <w:rFonts w:hint="eastAsia"/>
          <w:lang w:val="en-US" w:eastAsia="zh-CN"/>
        </w:rPr>
        <w:t>（4）施工期间发生的一切质量及生产安全问题均由中标人全权负责，包括过程中对其他方造成的损失。</w:t>
      </w:r>
    </w:p>
    <w:p>
      <w:pPr>
        <w:pStyle w:val="5"/>
        <w:bidi w:val="0"/>
        <w:rPr>
          <w:rFonts w:hint="eastAsia"/>
          <w:lang w:val="en-US" w:eastAsia="zh-CN"/>
        </w:rPr>
      </w:pPr>
      <w:r>
        <w:rPr>
          <w:rFonts w:hint="eastAsia"/>
          <w:lang w:val="en-US" w:eastAsia="zh-CN"/>
        </w:rPr>
        <w:t>8、其它要求</w:t>
      </w:r>
    </w:p>
    <w:p>
      <w:pPr>
        <w:pStyle w:val="2"/>
        <w:ind w:left="0" w:leftChars="0" w:firstLine="0" w:firstLineChars="0"/>
        <w:rPr>
          <w:rFonts w:hint="default"/>
          <w:lang w:val="en-US" w:eastAsia="zh-CN"/>
        </w:rPr>
      </w:pPr>
      <w:r>
        <w:rPr>
          <w:rFonts w:hint="eastAsia"/>
          <w:lang w:val="en-US" w:eastAsia="zh-CN"/>
        </w:rPr>
        <w:t>★本项目要求投标人投标前自行前往现场勘查。</w:t>
      </w:r>
    </w:p>
    <w:p>
      <w:r>
        <w:br w:type="page"/>
      </w:r>
    </w:p>
    <w:p>
      <w:pPr>
        <w:pStyle w:val="5"/>
        <w:bidi w:val="0"/>
      </w:pPr>
      <w:r>
        <w:rPr>
          <w:rFonts w:hint="eastAsia"/>
          <w:lang w:val="en-US" w:eastAsia="zh-CN"/>
        </w:rPr>
        <w:t>报价单模版：</w:t>
      </w:r>
    </w:p>
    <w:tbl>
      <w:tblPr>
        <w:tblStyle w:val="14"/>
        <w:tblW w:w="8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0"/>
        <w:gridCol w:w="2961"/>
        <w:gridCol w:w="440"/>
        <w:gridCol w:w="440"/>
        <w:gridCol w:w="736"/>
        <w:gridCol w:w="1025"/>
        <w:gridCol w:w="1146"/>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序号</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产品名称</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单位</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品牌</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型号</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单价（元）</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直控盘终端器</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个</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48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2</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火灾报警控制器/消防联动控制器</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套</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3</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总线制操作盘</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rPr>
            </w:pPr>
            <w:r>
              <w:rPr>
                <w:rFonts w:hint="eastAsia"/>
                <w:lang w:val="en-US" w:eastAsia="zh-CN"/>
              </w:rPr>
              <w:t>套</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1"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4</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直接控制盘</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ind w:left="0" w:leftChars="0" w:firstLine="0" w:firstLineChars="0"/>
              <w:jc w:val="center"/>
              <w:rPr>
                <w:rFonts w:hint="eastAsia"/>
              </w:rPr>
            </w:pPr>
            <w:r>
              <w:rPr>
                <w:rFonts w:hint="eastAsia"/>
                <w:lang w:val="en-US" w:eastAsia="zh-CN"/>
              </w:rPr>
              <w:t>套</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5</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非标双节琴台柜</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6</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火灾显示盘</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7</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智能电源盘（立柜用）</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8</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智能电源盘（立柜用）</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9</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消防控制室图形显示装置</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10</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接口卡</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块</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11</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N联网接口卡</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块</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12</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消防应急广播设备</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13</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广播功率放大器</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14</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消防电话</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台</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eastAsia="zh-CN"/>
              </w:rPr>
            </w:pPr>
            <w:r>
              <w:rPr>
                <w:rFonts w:hint="eastAsia"/>
                <w:lang w:val="en-US" w:eastAsia="zh-CN"/>
              </w:rPr>
              <w:t>15</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消防电话分机</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jc w:val="center"/>
              <w:rPr>
                <w:rFonts w:hint="eastAsia"/>
              </w:rPr>
            </w:pPr>
            <w:r>
              <w:rPr>
                <w:rFonts w:hint="eastAsia"/>
                <w:lang w:val="en-US" w:eastAsia="zh-CN"/>
              </w:rPr>
              <w:t>个</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16</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人工费</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jc w:val="center"/>
              <w:rPr>
                <w:rFonts w:hint="eastAsia"/>
              </w:rPr>
            </w:pPr>
            <w:r>
              <w:rPr>
                <w:rFonts w:hint="eastAsia"/>
                <w:lang w:val="en-US" w:eastAsia="zh-CN"/>
              </w:rPr>
              <w:t>人工</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6</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17</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调试费</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jc w:val="center"/>
              <w:rPr>
                <w:rFonts w:hint="eastAsia"/>
              </w:rPr>
            </w:pPr>
            <w:r>
              <w:rPr>
                <w:rFonts w:hint="eastAsia"/>
                <w:lang w:val="en-US" w:eastAsia="zh-CN"/>
              </w:rPr>
              <w:t>项</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rPr>
            </w:pPr>
            <w:r>
              <w:rPr>
                <w:rFonts w:hint="eastAsia"/>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83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9"/>
              <w:bidi w:val="0"/>
              <w:rPr>
                <w:rFonts w:hint="default"/>
                <w:lang w:val="en-US" w:eastAsia="zh-CN"/>
              </w:rPr>
            </w:pPr>
            <w:r>
              <w:rPr>
                <w:rFonts w:hint="eastAsia"/>
                <w:lang w:val="en-US" w:eastAsia="zh-CN"/>
              </w:rPr>
              <w:t>本项目总金额为    元，提供整体质保期  年</w:t>
            </w:r>
          </w:p>
        </w:tc>
      </w:tr>
    </w:tbl>
    <w:p>
      <w:pPr>
        <w:rPr>
          <w:rFonts w:hint="default"/>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CC3D3D"/>
    <w:rsid w:val="00D31D50"/>
    <w:rsid w:val="017A7AD5"/>
    <w:rsid w:val="01C571AF"/>
    <w:rsid w:val="044C3C86"/>
    <w:rsid w:val="05A977F3"/>
    <w:rsid w:val="06A61135"/>
    <w:rsid w:val="0D923F3B"/>
    <w:rsid w:val="13077845"/>
    <w:rsid w:val="13801856"/>
    <w:rsid w:val="1A924D42"/>
    <w:rsid w:val="1DDE113C"/>
    <w:rsid w:val="23AD3CC3"/>
    <w:rsid w:val="26C13800"/>
    <w:rsid w:val="35641977"/>
    <w:rsid w:val="367B3772"/>
    <w:rsid w:val="3E2E12BE"/>
    <w:rsid w:val="45251C09"/>
    <w:rsid w:val="46F9726B"/>
    <w:rsid w:val="4AF517BA"/>
    <w:rsid w:val="4F1B4BB5"/>
    <w:rsid w:val="514F1A0C"/>
    <w:rsid w:val="52846A00"/>
    <w:rsid w:val="5B75D6F4"/>
    <w:rsid w:val="615E330E"/>
    <w:rsid w:val="62F32A88"/>
    <w:rsid w:val="62FD6074"/>
    <w:rsid w:val="714627F3"/>
    <w:rsid w:val="75EC6D67"/>
    <w:rsid w:val="75FD302B"/>
    <w:rsid w:val="7866681B"/>
    <w:rsid w:val="7A103DC2"/>
    <w:rsid w:val="7A6C5A45"/>
    <w:rsid w:val="DB7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360" w:lineRule="auto"/>
      <w:ind w:firstLine="723" w:firstLineChars="200"/>
    </w:pPr>
    <w:rPr>
      <w:rFonts w:ascii="Times New Roman" w:hAnsi="Times New Roman" w:eastAsia="宋体" w:cstheme="minorBidi"/>
      <w:sz w:val="24"/>
      <w:szCs w:val="22"/>
      <w:lang w:val="en-US" w:eastAsia="zh-CN" w:bidi="ar-SA"/>
    </w:rPr>
  </w:style>
  <w:style w:type="paragraph" w:styleId="5">
    <w:name w:val="heading 1"/>
    <w:basedOn w:val="1"/>
    <w:next w:val="1"/>
    <w:link w:val="21"/>
    <w:qFormat/>
    <w:uiPriority w:val="9"/>
    <w:pPr>
      <w:keepNext/>
      <w:keepLines/>
      <w:spacing w:before="160" w:beforeLines="0" w:beforeAutospacing="0" w:after="160" w:afterLines="0" w:afterAutospacing="0" w:line="360" w:lineRule="auto"/>
      <w:ind w:firstLine="0" w:firstLineChars="0"/>
      <w:outlineLvl w:val="0"/>
    </w:pPr>
    <w:rPr>
      <w:b/>
      <w:kern w:val="44"/>
      <w:sz w:val="32"/>
    </w:rPr>
  </w:style>
  <w:style w:type="paragraph" w:styleId="6">
    <w:name w:val="heading 2"/>
    <w:basedOn w:val="1"/>
    <w:next w:val="1"/>
    <w:unhideWhenUsed/>
    <w:qFormat/>
    <w:uiPriority w:val="9"/>
    <w:pPr>
      <w:keepNext/>
      <w:keepLines/>
      <w:spacing w:before="160" w:beforeLines="0" w:beforeAutospacing="0" w:after="160" w:afterLines="0" w:afterAutospacing="0" w:line="360" w:lineRule="auto"/>
      <w:outlineLvl w:val="1"/>
    </w:pPr>
    <w:rPr>
      <w:rFonts w:ascii="Times New Roman" w:hAnsi="Times New Roman" w:eastAsia="宋体"/>
      <w:b/>
      <w:sz w:val="30"/>
    </w:rPr>
  </w:style>
  <w:style w:type="paragraph" w:styleId="7">
    <w:name w:val="heading 3"/>
    <w:basedOn w:val="1"/>
    <w:next w:val="1"/>
    <w:unhideWhenUsed/>
    <w:qFormat/>
    <w:uiPriority w:val="9"/>
    <w:pPr>
      <w:keepNext/>
      <w:keepLines/>
      <w:spacing w:before="160" w:beforeLines="0" w:beforeAutospacing="0" w:after="160" w:afterLines="0" w:afterAutospacing="0" w:line="360" w:lineRule="auto"/>
      <w:outlineLvl w:val="2"/>
    </w:pPr>
    <w:rPr>
      <w:rFonts w:ascii="Times New Roman" w:hAnsi="Times New Roman"/>
      <w:b/>
      <w:sz w:val="28"/>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link w:val="17"/>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unhideWhenUsed/>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unhideWhenUsed/>
    <w:qFormat/>
    <w:uiPriority w:val="0"/>
    <w:pPr>
      <w:spacing w:beforeLines="50" w:afterLines="50" w:line="400" w:lineRule="exact"/>
    </w:pPr>
    <w:rPr>
      <w:rFonts w:ascii="宋体" w:hAnsi="Courier New"/>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5 Char"/>
    <w:link w:val="9"/>
    <w:qFormat/>
    <w:uiPriority w:val="0"/>
    <w:rPr>
      <w:b/>
      <w:sz w:val="28"/>
    </w:rPr>
  </w:style>
  <w:style w:type="paragraph" w:customStyle="1" w:styleId="18">
    <w:name w:val="表标题"/>
    <w:basedOn w:val="1"/>
    <w:qFormat/>
    <w:uiPriority w:val="0"/>
    <w:pPr>
      <w:kinsoku w:val="0"/>
      <w:overflowPunct w:val="0"/>
      <w:ind w:firstLine="0" w:firstLineChars="0"/>
      <w:jc w:val="center"/>
    </w:pPr>
    <w:rPr>
      <w:rFonts w:hint="eastAsia" w:eastAsiaTheme="minorEastAsia"/>
      <w:b/>
      <w:sz w:val="21"/>
      <w:szCs w:val="24"/>
    </w:rPr>
  </w:style>
  <w:style w:type="paragraph" w:customStyle="1" w:styleId="19">
    <w:name w:val="表格内容"/>
    <w:basedOn w:val="1"/>
    <w:qFormat/>
    <w:uiPriority w:val="0"/>
    <w:pPr>
      <w:kinsoku w:val="0"/>
      <w:overflowPunct w:val="0"/>
      <w:autoSpaceDE w:val="0"/>
      <w:autoSpaceDN w:val="0"/>
      <w:spacing w:line="360" w:lineRule="auto"/>
      <w:ind w:left="0" w:firstLine="0" w:firstLineChars="0"/>
      <w:jc w:val="center"/>
    </w:pPr>
    <w:rPr>
      <w:rFonts w:hint="eastAsia" w:ascii="Times New Roman" w:hAnsi="Times New Roman" w:eastAsiaTheme="minorEastAsia"/>
      <w:color w:val="000000" w:themeColor="text1"/>
      <w:sz w:val="21"/>
      <w:szCs w:val="24"/>
      <w14:textFill>
        <w14:solidFill>
          <w14:schemeClr w14:val="tx1"/>
        </w14:solidFill>
      </w14:textFill>
    </w:rPr>
  </w:style>
  <w:style w:type="paragraph" w:customStyle="1" w:styleId="20">
    <w:name w:val="项目总标题"/>
    <w:basedOn w:val="1"/>
    <w:qFormat/>
    <w:uiPriority w:val="0"/>
    <w:pPr>
      <w:widowControl w:val="0"/>
      <w:adjustRightInd/>
      <w:snapToGrid/>
      <w:ind w:left="0" w:leftChars="0" w:firstLine="420"/>
      <w:jc w:val="center"/>
    </w:pPr>
    <w:rPr>
      <w:rFonts w:hint="eastAsia" w:ascii="Times New Roman" w:hAnsi="Times New Roman" w:cs="Times New Roman"/>
      <w:b/>
      <w:sz w:val="36"/>
      <w:szCs w:val="24"/>
    </w:rPr>
  </w:style>
  <w:style w:type="character" w:customStyle="1" w:styleId="21">
    <w:name w:val="标题 1 Char"/>
    <w:link w:val="5"/>
    <w:qFormat/>
    <w:uiPriority w:val="9"/>
    <w:rPr>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1</Lines>
  <Paragraphs>1</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cp:lastModifiedBy>
  <cp:lastPrinted>2024-10-14T02:44:00Z</cp:lastPrinted>
  <dcterms:modified xsi:type="dcterms:W3CDTF">2024-10-14T07:01:42Z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B8E228598DD6B7D166914A66987F6968_42</vt:lpwstr>
  </property>
</Properties>
</file>